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6B4F"/>
        </w:rPr>
        <w:t>Darukaa.Earth</w:t>
      </w:r>
    </w:p>
    <w:p>
      <w:r>
        <w:rPr>
          <w:rFonts w:ascii="Calibri" w:hAnsi="Calibri"/>
          <w:b/>
          <w:sz w:val="26"/>
        </w:rPr>
        <w:t>Full-Stack Developer Hackathon — Submission Document</w:t>
      </w:r>
    </w:p>
    <w:p>
      <w:r>
        <w:rPr>
          <w:rFonts w:ascii="Calibri" w:hAnsi="Calibri"/>
          <w:b w:val="0"/>
          <w:color w:val="64748B"/>
          <w:sz w:val="22"/>
        </w:rPr>
        <w:t>A geospatial analytics platform for managing and visualising carbon and biodiversity projects.</w:t>
      </w:r>
    </w:p>
    <w:p/>
    <w:p>
      <w:pPr>
        <w:pStyle w:val="Heading1"/>
      </w:pPr>
      <w:r>
        <w:rPr>
          <w:rFonts w:ascii="Calibri" w:hAnsi="Calibri"/>
          <w:color w:val="1C6B4F"/>
        </w:rPr>
        <w:t>1. Submission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GitHub repository (private)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https://github.com/&lt;your-username&gt;/darukaa-earth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Live demo URL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https://darukaa-earth.vercel.app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Deployed API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https://darukaa-api.up.railway.app/api/v1/health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API 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https://darukaa-api.up.railway.app/docs (development builds only)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C6B4F"/>
        </w:rPr>
        <w:t>Repository access</w:t>
      </w:r>
    </w:p>
    <w:p>
      <w:r>
        <w:rPr>
          <w:rFonts w:ascii="Calibri" w:hAnsi="Calibri"/>
          <w:b w:val="0"/>
          <w:sz w:val="22"/>
        </w:rPr>
        <w:t>The repository is private. Collaborator access has been granted to the following accounts: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ankita.dasgupta@darukaa.com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harsh.kumar@darukaa.com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utkarsh.gauniyal@darukaa.com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guneet.mutreja@darukaa.com</w:t>
      </w:r>
    </w:p>
    <w:p>
      <w:r>
        <w:rPr>
          <w:rFonts w:ascii="Calibri" w:hAnsi="Calibri"/>
          <w:b w:val="0"/>
          <w:color w:val="64748B"/>
          <w:sz w:val="22"/>
        </w:rPr>
        <w:t>If any invitation has not arrived, please let me know and I will re-send it immediately.</w:t>
      </w:r>
    </w:p>
    <w:p>
      <w:pPr>
        <w:pStyle w:val="Heading1"/>
      </w:pPr>
      <w:r>
        <w:rPr>
          <w:rFonts w:ascii="Calibri" w:hAnsi="Calibri"/>
          <w:color w:val="1C6B4F"/>
        </w:rPr>
        <w:t>2. Credentials and review notes</w:t>
      </w:r>
    </w:p>
    <w:p>
      <w:r>
        <w:rPr>
          <w:rFonts w:ascii="Calibri" w:hAnsi="Calibri"/>
          <w:b w:val="0"/>
          <w:sz w:val="22"/>
        </w:rPr>
        <w:t>A seeded administrator account is available on the live demo: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admin@darukaa.earth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Admin@12345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admin (full read/write)</w:t>
            </w:r>
          </w:p>
        </w:tc>
      </w:tr>
    </w:tbl>
    <w:p/>
    <w:p>
      <w:r>
        <w:rPr>
          <w:rFonts w:ascii="Calibri" w:hAnsi="Calibri"/>
          <w:b w:val="0"/>
          <w:sz w:val="22"/>
        </w:rPr>
        <w:t>What the seeded data contains: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3 projects across reforestation, agroforestry and biodiversity conservation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8 sites with drawn polygon boundaries in the Gangetic plain (Delhi NCR and western Uttar Pradesh)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288 monthly observations spanning 36 months, deterministic and reproducible</w:t>
      </w:r>
    </w:p>
    <w:p>
      <w:r>
        <w:rPr>
          <w:rFonts w:ascii="Calibri" w:hAnsi="Calibri"/>
          <w:b w:val="0"/>
          <w:color w:val="64748B"/>
          <w:sz w:val="22"/>
        </w:rPr>
        <w:t>Registering a new account also works; note that the first account created on a fresh database is promoted to admin, and later sign-ups default to read-only viewer, which is useful for checking the authorisation behaviour.</w:t>
      </w:r>
    </w:p>
    <w:p>
      <w:r>
        <w:rPr>
          <w:rFonts w:ascii="Calibri" w:hAnsi="Calibri"/>
          <w:b w:val="0"/>
          <w:sz w:val="22"/>
        </w:rPr>
        <w:t>Suggested review path: sign in → Dashboard → open a project → open a site to see the time-series analytics → Site Map → “Add site” to draw a new polygon.</w:t>
      </w:r>
    </w:p>
    <w:p>
      <w:pPr>
        <w:pStyle w:val="Heading1"/>
      </w:pPr>
      <w:r>
        <w:rPr>
          <w:rFonts w:ascii="Calibri" w:hAnsi="Calibri"/>
          <w:color w:val="1C6B4F"/>
        </w:rPr>
        <w:t>3. README overview</w:t>
      </w:r>
    </w:p>
    <w:p>
      <w:pPr>
        <w:pStyle w:val="Heading2"/>
      </w:pPr>
      <w:r>
        <w:rPr>
          <w:rFonts w:ascii="Calibri" w:hAnsi="Calibri"/>
          <w:color w:val="1C6B4F"/>
        </w:rPr>
        <w:t>3.1 High-level architecture</w:t>
      </w:r>
    </w:p>
    <w:p>
      <w:r>
        <w:rPr>
          <w:rFonts w:ascii="Calibri" w:hAnsi="Calibri"/>
          <w:b w:val="0"/>
          <w:sz w:val="22"/>
        </w:rPr>
        <w:t>Three tiers, each independently deployable. The browser talks only to relative URLs (/api/v1/...), so the same bundle runs behind a preview proxy, Vercel, or local development without CORS or host changes.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React 18, TypeScript, Vite, Mapbox GL JS + mapbox-gl-draw, Chart.js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State /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TanStack Query (caching, invalidation), React Router v6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Python 3.12, FastAPI, SQLAlchemy 2.0, GeoAlchemy2, Alembic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JWT access + refresh tokens (PyJWT), bcrypt password hashing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PostgreSQL 17 with PostGIS 3.5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GitHub Actions → Vercel (frontend), Railway (API), Neon (PostGIS)</w:t>
            </w:r>
          </w:p>
        </w:tc>
      </w:tr>
    </w:tbl>
    <w:p/>
    <w:p>
      <w:r>
        <w:rPr>
          <w:rFonts w:ascii="Calibri" w:hAnsi="Calibri"/>
          <w:b/>
          <w:sz w:val="22"/>
        </w:rPr>
        <w:t>Key design decisions: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Geometry is validated twice on purpose: Shapely validates and repairs incoming GeoJSON so a hand-drawn self-intersecting polygon becomes a valid MULTIPOLYGON instead of a 500 error, while PostGIS enforces the column type on write.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Area and centroid are computed by PostGIS at write time and stored as columns, using the geography type for a true geodesic area. On a real drawn parcel this returned 2,133.52 ha where a naive planar degree-squared conversion gave 2,143.90 ha — a 0.5% error that compounds across a portfolio.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Aggregation is pushed into SQL (GROUP BY, date_trunc, COALESCE, DISTINCT ON), so the Python layer only reshapes rows into chart-ready arrays and response size stays flat as observation volume grows.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map has an SVG fallback renderer for when no Mapbox token is configured, so a reviewer without credentials can still see boundaries and exercise the draw-to-create flow. Both renderers emit identical GeoJSON.</w:t>
      </w:r>
    </w:p>
    <w:p>
      <w:pPr>
        <w:pStyle w:val="Heading2"/>
      </w:pPr>
      <w:r>
        <w:rPr>
          <w:rFonts w:ascii="Calibri" w:hAnsi="Calibri"/>
          <w:color w:val="1C6B4F"/>
        </w:rPr>
        <w:t>3.2 Database schema</w:t>
      </w:r>
    </w:p>
    <w:p>
      <w:r>
        <w:rPr>
          <w:rFonts w:ascii="Calibri" w:hAnsi="Calibri"/>
          <w:b w:val="0"/>
          <w:sz w:val="22"/>
        </w:rPr>
        <w:t>Four tables, version-controlled with Alembic migrations.</w:t>
      </w:r>
    </w:p>
    <w:p>
      <w:pPr>
        <w:spacing w:after="80"/>
        <w:ind w:left="240"/>
        <w:shd w:fill="F1F5F9"/>
      </w:pPr>
      <w:r>
        <w:rPr>
          <w:rFonts w:ascii="Consolas" w:hAnsi="Consolas"/>
          <w:sz w:val="18"/>
        </w:rPr>
        <w:t>users       id UUID PK | email UNIQUE | hashed_password | role(admin|viewer) | is_active</w:t>
        <w:br/>
        <w:t>projects    id UUID PK | name UNIQUE | project_type | status | country | methodology</w:t>
        <w:br/>
        <w:t xml:space="preserve">            | baseline_year | owner_id FK→users ON DELETE CASCADE</w:t>
        <w:br/>
        <w:t>sites       id UUID PK | name | geometry geometry(MULTIPOLYGON, 4326) + GiST index</w:t>
        <w:br/>
        <w:t xml:space="preserve">            | area_hectares | centroid_lat | centroid_lng | land_cover | planting_year</w:t>
        <w:br/>
        <w:t xml:space="preserve">            | project_id FK→projects ON DELETE CASCADE | UNIQUE(project_id, name)</w:t>
        <w:br/>
        <w:t>observations id UUID PK | measured_on | carbon_sequestered_tco2e | biomass_tonnes | ndvi</w:t>
        <w:br/>
        <w:t xml:space="preserve">            | canopy_cover_pct | tree_count | biodiversity_index | species_observed</w:t>
        <w:br/>
        <w:t xml:space="preserve">            | data_source(satellite|field_survey|modelled)</w:t>
        <w:br/>
        <w:t xml:space="preserve">            | site_id FK→sites ON DELETE CASCADE | UNIQUE(site_id, measured_on)</w:t>
      </w:r>
    </w:p>
    <w:p>
      <w:r>
        <w:rPr>
          <w:rFonts w:ascii="Calibri" w:hAnsi="Calibri"/>
          <w:b/>
          <w:sz w:val="22"/>
        </w:rPr>
        <w:t>Schema rationale: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MULTIPOLYGON rather than POLYGON: Mapbox GL Draw emits Polygon, which is promoted on write, so a site can later hold disjoint parcels with no migration.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Observations are wide-but-shallow — one row per site per date holding every metric — rather than an entity-attribute-value table. A site's 36-month history is a single indexed range scan instead of a pivot join.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area_hectares and centroid are denormalised pure functions of the geometry, recomputed on every geometry write so they cannot drift, removing geodesic maths from every read path.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UNIQUE(site_id, measured_on) makes duplicate measurements impossible at the database level, not just in application code.</w:t>
      </w:r>
    </w:p>
    <w:p>
      <w:pPr>
        <w:pStyle w:val="Heading2"/>
      </w:pPr>
      <w:r>
        <w:rPr>
          <w:rFonts w:ascii="Calibri" w:hAnsi="Calibri"/>
          <w:color w:val="1C6B4F"/>
        </w:rPr>
        <w:t>3.3 Local setup</w:t>
      </w:r>
    </w:p>
    <w:p>
      <w:r>
        <w:rPr>
          <w:rFonts w:ascii="Calibri" w:hAnsi="Calibri"/>
          <w:b w:val="0"/>
          <w:sz w:val="22"/>
        </w:rPr>
        <w:t>One command (requires python3, npm, and PostgreSQL with PostGIS):</w:t>
      </w:r>
    </w:p>
    <w:p>
      <w:pPr>
        <w:spacing w:after="80"/>
        <w:ind w:left="240"/>
        <w:shd w:fill="F1F5F9"/>
      </w:pPr>
      <w:r>
        <w:rPr>
          <w:rFonts w:ascii="Consolas" w:hAnsi="Consolas"/>
          <w:sz w:val="18"/>
        </w:rPr>
        <w:t>./scripts/bootstrap.sh</w:t>
      </w:r>
    </w:p>
    <w:p>
      <w:r>
        <w:rPr>
          <w:rFonts w:ascii="Calibri" w:hAnsi="Calibri"/>
          <w:b w:val="0"/>
          <w:sz w:val="22"/>
        </w:rPr>
        <w:t>Or with Docker:</w:t>
      </w:r>
    </w:p>
    <w:p>
      <w:pPr>
        <w:spacing w:after="80"/>
        <w:ind w:left="240"/>
        <w:shd w:fill="F1F5F9"/>
      </w:pPr>
      <w:r>
        <w:rPr>
          <w:rFonts w:ascii="Consolas" w:hAnsi="Consolas"/>
          <w:sz w:val="18"/>
        </w:rPr>
        <w:t>cp backend/.env.example backend/.env</w:t>
        <w:br/>
        <w:t>docker compose up --build</w:t>
        <w:br/>
        <w:t>#  Dashboard  http://localhost:5173</w:t>
        <w:br/>
        <w:t>#  API docs   http://localhost:8000/docs</w:t>
      </w:r>
    </w:p>
    <w:p>
      <w:r>
        <w:rPr>
          <w:rFonts w:ascii="Calibri" w:hAnsi="Calibri"/>
          <w:b w:val="0"/>
          <w:sz w:val="22"/>
        </w:rPr>
        <w:t>Manual steps:</w:t>
      </w:r>
    </w:p>
    <w:p>
      <w:pPr>
        <w:spacing w:after="80"/>
        <w:ind w:left="240"/>
        <w:shd w:fill="F1F5F9"/>
      </w:pPr>
      <w:r>
        <w:rPr>
          <w:rFonts w:ascii="Consolas" w:hAnsi="Consolas"/>
          <w:sz w:val="18"/>
        </w:rPr>
        <w:t># database</w:t>
        <w:br/>
        <w:t>createdb darukaa</w:t>
        <w:br/>
        <w:t>psql -d darukaa -c "CREATE EXTENSION IF NOT EXISTS postgis;"</w:t>
        <w:br/>
        <w:br/>
        <w:t># backend</w:t>
        <w:br/>
        <w:t>cd backend &amp;&amp; cp .env.example .env</w:t>
        <w:br/>
        <w:t>python -m venv .venv &amp;&amp; source .venv/bin/activate</w:t>
        <w:br/>
        <w:t>pip install -r requirements-dev.txt</w:t>
        <w:br/>
        <w:t>alembic upgrade head</w:t>
        <w:br/>
        <w:t>python -m app.services.seed</w:t>
        <w:br/>
        <w:t>uvicorn app.main:app --reload --port 8000</w:t>
        <w:br/>
        <w:br/>
        <w:t># frontend (new terminal)</w:t>
        <w:br/>
        <w:t>cd frontend &amp;&amp; npm install &amp;&amp; npm run dev</w:t>
      </w:r>
    </w:p>
    <w:p>
      <w:r>
        <w:rPr>
          <w:rFonts w:ascii="Calibri" w:hAnsi="Calibri"/>
          <w:b w:val="0"/>
          <w:color w:val="64748B"/>
          <w:sz w:val="22"/>
        </w:rPr>
        <w:t>Optional: set VITE_MAPBOX_TOKEN in frontend/.env.local for the satellite basemap. Without it the app uses the built-in SVG projection and every feature still works.</w:t>
      </w:r>
    </w:p>
    <w:p>
      <w:pPr>
        <w:pStyle w:val="Heading2"/>
      </w:pPr>
      <w:r>
        <w:rPr>
          <w:rFonts w:ascii="Calibri" w:hAnsi="Calibri"/>
          <w:color w:val="1C6B4F"/>
        </w:rPr>
        <w:t>3.4 CI/CD pipeline</w:t>
      </w:r>
    </w:p>
    <w:p>
      <w:r>
        <w:rPr>
          <w:rFonts w:ascii="Calibri" w:hAnsi="Calibri"/>
          <w:b w:val="0"/>
          <w:sz w:val="22"/>
        </w:rPr>
        <w:t>Three GitHub Actions workflows: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Workflow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ci.yml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push / PR to main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Backend job (PostGIS service container): ruff check, ruff format --check, mypy, alembic upgrade head + alembic check, pytest with coverage. Frontend job: eslint --max-warnings=0, tsc -b --noEmit, vitest, vite build. Formatting job: prettier --check across the repo.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deploy-frontend.yml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main, frontend/** changed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Re-runs lint, typecheck and tests before deploying, builds with the Vercel CLI and promotes a prebuilt artifact. Writes the deployment URL to the GitHub environment.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deploy-backend.yml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main, backend/** changed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Verifies migrations and runs the test suite against a PostGIS service, deploys via the Railway CLI, then smoke-tests the live /api/v1/health endpoint with retries so a failed rollout is reported by the pipeline.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PostGIS runs as a service container rather than being mocked: the tests exercise real geometry types, GiST indexes, ST_Area(geography) and Postgres DISTINCT ON, which no SQLite stand-in can provide.</w:t>
      </w:r>
    </w:p>
    <w:p>
      <w:pPr>
        <w:pStyle w:val="Heading2"/>
      </w:pPr>
      <w:r>
        <w:rPr>
          <w:rFonts w:ascii="Calibri" w:hAnsi="Calibri"/>
          <w:color w:val="1C6B4F"/>
        </w:rPr>
        <w:t>Code quality enforcement</w:t>
      </w:r>
    </w:p>
    <w:p>
      <w:r>
        <w:rPr>
          <w:rFonts w:ascii="Calibri" w:hAnsi="Calibri"/>
          <w:b w:val="0"/>
          <w:sz w:val="22"/>
        </w:rPr>
        <w:t>Husky + lint-staged run on every commit: staged frontend files go through ESLint --fix and Prettier, staged Python files through ruff format and ruff check --fix, and the whole tree is then checked with ruff and mypy so results match CI exactly. A .pre-commit-config.yaml is also included for teams that prefer pre-commit.</w:t>
      </w:r>
    </w:p>
    <w:p>
      <w:r>
        <w:rPr>
          <w:rFonts w:ascii="Calibri" w:hAnsi="Calibri"/>
          <w:b w:val="0"/>
          <w:sz w:val="22"/>
        </w:rPr>
        <w:t>Current status of every check:</w:t>
      </w:r>
    </w:p>
    <w:p>
      <w:pPr>
        <w:spacing w:after="80"/>
        <w:ind w:left="240"/>
        <w:shd w:fill="F1F5F9"/>
      </w:pPr>
      <w:r>
        <w:rPr>
          <w:rFonts w:ascii="Consolas" w:hAnsi="Consolas"/>
          <w:sz w:val="18"/>
        </w:rPr>
        <w:t>ruff check          All checks passed!</w:t>
        <w:br/>
        <w:t>ruff format         45 files already formatted</w:t>
        <w:br/>
        <w:t>mypy                Success: no issues found in 37 source files</w:t>
        <w:br/>
        <w:t>eslint              clean, 0 warnings</w:t>
        <w:br/>
        <w:t>tsc -b --noEmit     clean</w:t>
        <w:br/>
        <w:t>pytest              69 passed</w:t>
        <w:br/>
        <w:t>vitest              42 passed</w:t>
        <w:br/>
        <w:t>prettier --check    all matched files conform</w:t>
      </w:r>
    </w:p>
    <w:p>
      <w:pPr>
        <w:pStyle w:val="Heading1"/>
      </w:pPr>
      <w:r>
        <w:rPr>
          <w:rFonts w:ascii="Calibri" w:hAnsi="Calibri"/>
          <w:color w:val="1C6B4F"/>
        </w:rPr>
        <w:t>4. Datasets and why they were chosen</w:t>
      </w:r>
    </w:p>
    <w:p>
      <w:r>
        <w:rPr>
          <w:rFonts w:ascii="Calibri" w:hAnsi="Calibri"/>
          <w:b w:val="0"/>
          <w:color w:val="64748B"/>
          <w:sz w:val="22"/>
        </w:rPr>
        <w:t>The brief allows any datasets or mocks provided the choice is documented.</w:t>
      </w:r>
    </w:p>
    <w:p>
      <w:r>
        <w:rPr>
          <w:rFonts w:ascii="Calibri" w:hAnsi="Calibri"/>
          <w:b w:val="0"/>
          <w:sz w:val="22"/>
        </w:rPr>
        <w:t>Site geometries are hand-drawn polygons around real locations in the Gangetic plain — the Yamuna floodplain near Delhi, agroforestry clusters in Ghaziabad district, and oxbow wetlands on the upper Ganga — so the map opens on a recognisable region at realistic parcel sizes.</w:t>
      </w:r>
    </w:p>
    <w:p>
      <w:r>
        <w:rPr>
          <w:rFonts w:ascii="Calibri" w:hAnsi="Calibri"/>
          <w:b w:val="0"/>
          <w:sz w:val="22"/>
        </w:rPr>
        <w:t>Observations are synthetic but deterministic, generated from a fixed random seed with a seasonal NDVI and canopy cycle peaking in the July–August monsoon, a saturating carbon accumulation curve, and field-survey provenance every sixth month rather than a single uniform source.</w:t>
      </w:r>
    </w:p>
    <w:p>
      <w:r>
        <w:rPr>
          <w:rFonts w:ascii="Calibri" w:hAnsi="Calibri"/>
          <w:b w:val="0"/>
          <w:sz w:val="22"/>
        </w:rPr>
        <w:t>Real satellite archives (Sentinel-2, Landsat, Planet) require API keys and rate-limited accounts that a reviewer cannot be assumed to have. Deterministic mocks make the reviewer's experience identical to the author's and keep CI hermetic — no network, no credentials, no flakiness. Values are calibrated to plausible published ranges (NDVI 0.3–0.95, canopy 18–98%, 3–8 tCO2e/ha/yr for Indian tropical plantations) so the charts are meaningful rather than noise.</w:t>
      </w:r>
    </w:p>
    <w:p>
      <w:pPr>
        <w:pStyle w:val="Heading1"/>
      </w:pPr>
      <w:r>
        <w:rPr>
          <w:rFonts w:ascii="Calibri" w:hAnsi="Calibri"/>
          <w:color w:val="1C6B4F"/>
        </w:rPr>
        <w:t>5. Notable trade-offs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Sync SQLAlchemy handlers on an async framework — FastAPI runs def endpoints in a threadpool. SQLAlchemy's async support with GeoAlchemy2 is materially less mature, and the workload is I/O-bound against a connection pool.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JWT rather than server sessions, as specified by the brief. Logout is stateless; the /auth/logout endpoint exists as the single place to add a denylist later without changing the client.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Tests hit a real PostGIS database (~17s for 69 tests) against a dedicated &lt;dbname&gt;_test database, so the suite can never destroy a developer's seeded data.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mapbox-gl is ~1.9MB, so it is lazy-loaded on the /map route only; the dashboard's initial payload is ~430KB.</w:t>
      </w:r>
    </w:p>
    <w:p/>
    <w:p>
      <w:pPr>
        <w:jc w:val="left"/>
      </w:pPr>
      <w:r>
        <w:rPr>
          <w:rFonts w:ascii="Calibri" w:hAnsi="Calibri"/>
          <w:i/>
          <w:sz w:val="22"/>
        </w:rPr>
        <w:t>Thank you for taking the time to review this submission. I am happy to walk through any part of the codebase.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