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800"/>
      </w:pPr>
      <w:r>
        <w:rPr>
          <w:b/>
          <w:color w:val="EC4899"/>
          <w:sz w:val="26"/>
        </w:rPr>
        <w:t>DEVZARD</w:t>
      </w:r>
    </w:p>
    <w:p>
      <w:r>
        <w:rPr>
          <w:b/>
          <w:color w:val="4C1D95"/>
          <w:sz w:val="76"/>
        </w:rPr>
        <w:t>Sales Partnership Agreement</w:t>
      </w:r>
    </w:p>
    <w:p>
      <w:pPr>
        <w:pBdr>
          <w:bottom w:val="single" w:sz="18" w:space="4" w:color="6D28D9"/>
        </w:pBdr>
      </w:pPr>
      <w:r>
        <w:rPr>
          <w:color w:val="4B5563"/>
          <w:sz w:val="26"/>
        </w:rPr>
        <w:t>The binding terms — 70/30 split, lead protection, expense approval, payout timing, tail protection and dispute resolution. Fill in the blanks and sign.</w:t>
      </w:r>
    </w:p>
    <w:p>
      <w:r>
        <w:rPr>
          <w:b/>
          <w:color w:val="0891B2"/>
          <w:sz w:val="22"/>
        </w:rPr>
        <w:t>Sales Partnership Program  ·  70 / 30 profit sharing</w:t>
      </w:r>
    </w:p>
    <w:p>
      <w:r>
        <w:rPr>
          <w:i/>
          <w:color w:val="4B5563"/>
          <w:sz w:val="22"/>
        </w:rPr>
        <w:t>Devzard — Let's Build Together.</w:t>
      </w:r>
    </w:p>
    <w:p>
      <w:r>
        <w:br w:type="page"/>
      </w:r>
    </w:p>
    <w:p>
      <w:pPr>
        <w:spacing w:before="320" w:after="80"/>
        <w:pBdr>
          <w:bottom w:val="single" w:sz="14" w:space="4" w:color="EC4899"/>
        </w:pBdr>
      </w:pPr>
      <w:r>
        <w:rPr>
          <w:b/>
          <w:color w:val="4C1D95"/>
          <w:sz w:val="44"/>
        </w:rPr>
        <w:t>Sales Partnership Agreement</w:t>
      </w:r>
    </w:p>
    <w:p>
      <w:r>
        <w:rPr>
          <w:rFonts w:ascii="Calibri" w:hAnsi="Calibri"/>
          <w:b/>
          <w:color w:val="4C1D95"/>
          <w:sz w:val="21"/>
        </w:rPr>
        <w:t>Devzard — Sales Partnership Program</w:t>
      </w:r>
    </w:p>
    <w:tbl>
      <w:tblPr>
        <w:tblW w:type="auto" w:w="0"/>
        <w:jc w:val="center"/>
        <w:tblLook w:firstColumn="1" w:firstRow="1" w:lastColumn="0" w:lastRow="0" w:noHBand="0" w:noVBand="1" w:val="04A0"/>
      </w:tblPr>
      <w:tblGrid>
        <w:gridCol w:w="9792"/>
      </w:tblGrid>
      <w:tr>
        <w:tc>
          <w:tcPr>
            <w:tcW w:type="dxa" w:w="9792"/>
            <w:shd w:val="clear" w:color="auto" w:fill="F5F3FF"/>
            <w:tcMar>
              <w:top w:w="120" w:type="dxa"/>
              <w:start w:w="160" w:type="dxa"/>
              <w:bottom w:w="120" w:type="dxa"/>
              <w:end w:w="160" w:type="dxa"/>
            </w:tcMar>
          </w:tcPr>
          <w:p>
            <w:pPr>
              <w:spacing w:after="80"/>
            </w:pPr>
            <w:r/>
            <w:r>
              <w:rPr>
                <w:rFonts w:ascii="Calibri" w:hAnsi="Calibri"/>
                <w:b/>
                <w:color w:val="4C1D95"/>
                <w:sz w:val="20"/>
              </w:rPr>
              <w:t>How to use this document.</w:t>
            </w:r>
            <w:r>
              <w:rPr>
                <w:rFonts w:ascii="Calibri" w:hAnsi="Calibri"/>
                <w:sz w:val="20"/>
              </w:rPr>
              <w:t xml:space="preserve"> This is a fill-in-the-blanks template. Replace every </w:t>
            </w:r>
            <w:r>
              <w:rPr>
                <w:rFonts w:ascii="Consolas" w:hAnsi="Consolas"/>
                <w:color w:val="EC4899"/>
                <w:sz w:val="18"/>
              </w:rPr>
              <w:t>[…]</w:t>
            </w:r>
            <w:r>
              <w:rPr>
                <w:rFonts w:ascii="Calibri" w:hAnsi="Calibri"/>
                <w:sz w:val="20"/>
              </w:rPr>
              <w:t xml:space="preserve"> field, delete the clauses and Schedules you do not need, and have it reviewed by a qualified lawyer before signing. It is written to be fair to both sides — the lead-registration clause protects your commission as much as it protects Devzard's pipeline. Nothing in this document is legal advice.</w:t>
            </w:r>
          </w:p>
        </w:tc>
      </w:tr>
    </w:tbl>
    <w:p>
      <w:pPr>
        <w:spacing w:after="40"/>
      </w:pPr>
    </w:p>
    <w:p>
      <w:pPr>
        <w:spacing w:before="40" w:after="120"/>
        <w:pBdr>
          <w:bottom w:val="single" w:sz="8" w:space="4" w:color="E5E1F5"/>
        </w:pBdr>
      </w:pPr>
    </w:p>
    <w:p>
      <w:pPr>
        <w:spacing w:before="320" w:after="80"/>
      </w:pPr>
      <w:r>
        <w:rPr>
          <w:b/>
          <w:color w:val="6D28D9"/>
          <w:sz w:val="30"/>
        </w:rPr>
        <w:t>Plain-language summary</w:t>
      </w:r>
    </w:p>
    <w:p>
      <w:r>
        <w:rPr>
          <w:rFonts w:ascii="Calibri" w:hAnsi="Calibri"/>
          <w:i/>
          <w:sz w:val="21"/>
        </w:rPr>
        <w:t>Read this first. The numbered clauses are the binding version; this table is here so that you understand what you are signing.</w:t>
      </w:r>
    </w:p>
    <w:tbl>
      <w:tblPr>
        <w:tblStyle w:val="TableGrid"/>
        <w:tblW w:type="auto" w:w="0"/>
        <w:jc w:val="center"/>
        <w:tblLook w:firstColumn="1" w:firstRow="1" w:lastColumn="0" w:lastRow="0" w:noHBand="0" w:noVBand="1" w:val="04A0"/>
      </w:tblPr>
      <w:tblGrid>
        <w:gridCol w:w="3264"/>
        <w:gridCol w:w="3264"/>
        <w:gridCol w:w="3264"/>
      </w:tblGrid>
      <w:tr>
        <w:tc>
          <w:tcPr>
            <w:tcW w:type="dxa" w:w="3264"/>
            <w:shd w:val="clear" w:color="auto" w:fill="4C1D95"/>
            <w:tcMar>
              <w:top w:w="60" w:type="dxa"/>
              <w:start w:w="100" w:type="dxa"/>
              <w:bottom w:w="60" w:type="dxa"/>
              <w:end w:w="100" w:type="dxa"/>
            </w:tcMar>
          </w:tcPr>
          <w:p>
            <w:pPr>
              <w:spacing w:after="0"/>
            </w:pPr>
            <w:r/>
            <w:r>
              <w:rPr>
                <w:b/>
                <w:color w:val="FFFFFF"/>
                <w:sz w:val="19"/>
              </w:rPr>
              <w:t>What</w:t>
            </w:r>
          </w:p>
        </w:tc>
        <w:tc>
          <w:tcPr>
            <w:tcW w:type="dxa" w:w="3264"/>
            <w:shd w:val="clear" w:color="auto" w:fill="4C1D95"/>
            <w:tcMar>
              <w:top w:w="60" w:type="dxa"/>
              <w:start w:w="100" w:type="dxa"/>
              <w:bottom w:w="60" w:type="dxa"/>
              <w:end w:w="100" w:type="dxa"/>
            </w:tcMar>
          </w:tcPr>
          <w:p>
            <w:pPr>
              <w:spacing w:after="0"/>
            </w:pPr>
            <w:r/>
            <w:r>
              <w:rPr>
                <w:b/>
                <w:color w:val="FFFFFF"/>
                <w:sz w:val="19"/>
              </w:rPr>
              <w:t>Plain words</w:t>
            </w:r>
          </w:p>
        </w:tc>
        <w:tc>
          <w:tcPr>
            <w:tcW w:type="dxa" w:w="3264"/>
            <w:shd w:val="clear" w:color="auto" w:fill="4C1D95"/>
            <w:tcMar>
              <w:top w:w="60" w:type="dxa"/>
              <w:start w:w="100" w:type="dxa"/>
              <w:bottom w:w="60" w:type="dxa"/>
              <w:end w:w="100" w:type="dxa"/>
            </w:tcMar>
          </w:tcPr>
          <w:p>
            <w:pPr>
              <w:spacing w:after="0"/>
            </w:pPr>
            <w:r/>
            <w:r>
              <w:rPr>
                <w:b/>
                <w:color w:val="FFFFFF"/>
                <w:sz w:val="19"/>
              </w:rPr>
              <w:t>Clause</w:t>
            </w:r>
          </w:p>
        </w:tc>
      </w:tr>
      <w:tr>
        <w:tc>
          <w:tcPr>
            <w:tcW w:type="dxa" w:w="3264"/>
            <w:tcMar>
              <w:top w:w="60" w:type="dxa"/>
              <w:start w:w="100" w:type="dxa"/>
              <w:bottom w:w="60" w:type="dxa"/>
              <w:end w:w="100" w:type="dxa"/>
            </w:tcMar>
          </w:tcPr>
          <w:p>
            <w:pPr>
              <w:spacing w:after="0"/>
            </w:pPr>
            <w:r/>
            <w:r>
              <w:rPr>
                <w:rFonts w:ascii="Calibri" w:hAnsi="Calibri"/>
                <w:sz w:val="19"/>
              </w:rPr>
              <w:t>Your share</w:t>
            </w:r>
          </w:p>
        </w:tc>
        <w:tc>
          <w:tcPr>
            <w:tcW w:type="dxa" w:w="3264"/>
            <w:tcMar>
              <w:top w:w="60" w:type="dxa"/>
              <w:start w:w="100" w:type="dxa"/>
              <w:bottom w:w="60" w:type="dxa"/>
              <w:end w:w="100" w:type="dxa"/>
            </w:tcMar>
          </w:tcPr>
          <w:p>
            <w:pPr>
              <w:spacing w:after="0"/>
            </w:pPr>
            <w:r/>
            <w:r>
              <w:rPr>
                <w:rFonts w:ascii="Calibri" w:hAnsi="Calibri"/>
                <w:sz w:val="19"/>
              </w:rPr>
              <w:t>30% of net project profit. Devzard keeps 70%</w:t>
            </w:r>
          </w:p>
        </w:tc>
        <w:tc>
          <w:tcPr>
            <w:tcW w:type="dxa" w:w="3264"/>
            <w:tcMar>
              <w:top w:w="60" w:type="dxa"/>
              <w:start w:w="100" w:type="dxa"/>
              <w:bottom w:w="60" w:type="dxa"/>
              <w:end w:w="100" w:type="dxa"/>
            </w:tcMar>
          </w:tcPr>
          <w:p>
            <w:pPr>
              <w:spacing w:after="0"/>
            </w:pPr>
            <w:r/>
            <w:r>
              <w:rPr>
                <w:rFonts w:ascii="Calibri" w:hAnsi="Calibri"/>
                <w:sz w:val="19"/>
              </w:rPr>
              <w:t>6</w:t>
            </w:r>
          </w:p>
        </w:tc>
      </w:tr>
      <w:tr>
        <w:tc>
          <w:tcPr>
            <w:tcW w:type="dxa" w:w="3264"/>
            <w:shd w:val="clear" w:color="auto" w:fill="F5F3FF"/>
            <w:tcMar>
              <w:top w:w="60" w:type="dxa"/>
              <w:start w:w="100" w:type="dxa"/>
              <w:bottom w:w="60" w:type="dxa"/>
              <w:end w:w="100" w:type="dxa"/>
            </w:tcMar>
          </w:tcPr>
          <w:p>
            <w:pPr>
              <w:spacing w:after="0"/>
            </w:pPr>
            <w:r/>
            <w:r>
              <w:rPr>
                <w:rFonts w:ascii="Calibri" w:hAnsi="Calibri"/>
                <w:sz w:val="19"/>
              </w:rPr>
              <w:t>Net profit</w:t>
            </w:r>
          </w:p>
        </w:tc>
        <w:tc>
          <w:tcPr>
            <w:tcW w:type="dxa" w:w="3264"/>
            <w:shd w:val="clear" w:color="auto" w:fill="F5F3FF"/>
            <w:tcMar>
              <w:top w:w="60" w:type="dxa"/>
              <w:start w:w="100" w:type="dxa"/>
              <w:bottom w:w="60" w:type="dxa"/>
              <w:end w:w="100" w:type="dxa"/>
            </w:tcMar>
          </w:tcPr>
          <w:p>
            <w:pPr>
              <w:spacing w:after="0"/>
            </w:pPr>
            <w:r/>
            <w:r>
              <w:rPr>
                <w:rFonts w:ascii="Calibri" w:hAnsi="Calibri"/>
                <w:sz w:val="19"/>
              </w:rPr>
              <w:t>Client revenue minus agreed, documented, project-specific expenses</w:t>
            </w:r>
          </w:p>
        </w:tc>
        <w:tc>
          <w:tcPr>
            <w:tcW w:type="dxa" w:w="3264"/>
            <w:shd w:val="clear" w:color="auto" w:fill="F5F3FF"/>
            <w:tcMar>
              <w:top w:w="60" w:type="dxa"/>
              <w:start w:w="100" w:type="dxa"/>
              <w:bottom w:w="60" w:type="dxa"/>
              <w:end w:w="100" w:type="dxa"/>
            </w:tcMar>
          </w:tcPr>
          <w:p>
            <w:pPr>
              <w:spacing w:after="0"/>
            </w:pPr>
            <w:r/>
            <w:r>
              <w:rPr>
                <w:rFonts w:ascii="Calibri" w:hAnsi="Calibri"/>
                <w:sz w:val="19"/>
              </w:rPr>
              <w:t>1, 7</w:t>
            </w:r>
          </w:p>
        </w:tc>
      </w:tr>
      <w:tr>
        <w:tc>
          <w:tcPr>
            <w:tcW w:type="dxa" w:w="3264"/>
            <w:tcMar>
              <w:top w:w="60" w:type="dxa"/>
              <w:start w:w="100" w:type="dxa"/>
              <w:bottom w:w="60" w:type="dxa"/>
              <w:end w:w="100" w:type="dxa"/>
            </w:tcMar>
          </w:tcPr>
          <w:p>
            <w:pPr>
              <w:spacing w:after="0"/>
            </w:pPr>
            <w:r/>
            <w:r>
              <w:rPr>
                <w:rFonts w:ascii="Calibri" w:hAnsi="Calibri"/>
                <w:sz w:val="19"/>
              </w:rPr>
              <w:t>Not deducted</w:t>
            </w:r>
          </w:p>
        </w:tc>
        <w:tc>
          <w:tcPr>
            <w:tcW w:type="dxa" w:w="3264"/>
            <w:tcMar>
              <w:top w:w="60" w:type="dxa"/>
              <w:start w:w="100" w:type="dxa"/>
              <w:bottom w:w="60" w:type="dxa"/>
              <w:end w:w="100" w:type="dxa"/>
            </w:tcMar>
          </w:tcPr>
          <w:p>
            <w:pPr>
              <w:spacing w:after="0"/>
            </w:pPr>
            <w:r/>
            <w:r>
              <w:rPr>
                <w:rFonts w:ascii="Calibri" w:hAnsi="Calibri"/>
                <w:sz w:val="19"/>
              </w:rPr>
              <w:t>Devzard's salaries, overheads, tools, internal rework and late-delivery penalties</w:t>
            </w:r>
          </w:p>
        </w:tc>
        <w:tc>
          <w:tcPr>
            <w:tcW w:type="dxa" w:w="3264"/>
            <w:tcMar>
              <w:top w:w="60" w:type="dxa"/>
              <w:start w:w="100" w:type="dxa"/>
              <w:bottom w:w="60" w:type="dxa"/>
              <w:end w:w="100" w:type="dxa"/>
            </w:tcMar>
          </w:tcPr>
          <w:p>
            <w:pPr>
              <w:spacing w:after="0"/>
            </w:pPr>
            <w:r/>
            <w:r>
              <w:rPr>
                <w:rFonts w:ascii="Calibri" w:hAnsi="Calibri"/>
                <w:sz w:val="19"/>
              </w:rPr>
              <w:t>7.4</w:t>
            </w:r>
          </w:p>
        </w:tc>
      </w:tr>
      <w:tr>
        <w:tc>
          <w:tcPr>
            <w:tcW w:type="dxa" w:w="3264"/>
            <w:shd w:val="clear" w:color="auto" w:fill="F5F3FF"/>
            <w:tcMar>
              <w:top w:w="60" w:type="dxa"/>
              <w:start w:w="100" w:type="dxa"/>
              <w:bottom w:w="60" w:type="dxa"/>
              <w:end w:w="100" w:type="dxa"/>
            </w:tcMar>
          </w:tcPr>
          <w:p>
            <w:pPr>
              <w:spacing w:after="0"/>
            </w:pPr>
            <w:r/>
            <w:r>
              <w:rPr>
                <w:rFonts w:ascii="Calibri" w:hAnsi="Calibri"/>
                <w:sz w:val="19"/>
              </w:rPr>
              <w:t>When you are paid</w:t>
            </w:r>
          </w:p>
        </w:tc>
        <w:tc>
          <w:tcPr>
            <w:tcW w:type="dxa" w:w="3264"/>
            <w:shd w:val="clear" w:color="auto" w:fill="F5F3FF"/>
            <w:tcMar>
              <w:top w:w="60" w:type="dxa"/>
              <w:start w:w="100" w:type="dxa"/>
              <w:bottom w:w="60" w:type="dxa"/>
              <w:end w:w="100" w:type="dxa"/>
            </w:tcMar>
          </w:tcPr>
          <w:p>
            <w:pPr>
              <w:spacing w:after="0"/>
            </w:pPr>
            <w:r/>
            <w:r>
              <w:rPr>
                <w:rFonts w:ascii="Calibri" w:hAnsi="Calibri"/>
                <w:sz w:val="19"/>
              </w:rPr>
              <w:t xml:space="preserve">7 business days after the client's money clears </w:t>
            </w:r>
            <w:r>
              <w:rPr>
                <w:rFonts w:ascii="Calibri" w:hAnsi="Calibri"/>
                <w:b/>
                <w:color w:val="4C1D95"/>
                <w:sz w:val="19"/>
              </w:rPr>
              <w:t>and</w:t>
            </w:r>
            <w:r>
              <w:rPr>
                <w:rFonts w:ascii="Calibri" w:hAnsi="Calibri"/>
                <w:sz w:val="19"/>
              </w:rPr>
              <w:t xml:space="preserve"> the milestone is delivered</w:t>
            </w:r>
          </w:p>
        </w:tc>
        <w:tc>
          <w:tcPr>
            <w:tcW w:type="dxa" w:w="3264"/>
            <w:shd w:val="clear" w:color="auto" w:fill="F5F3FF"/>
            <w:tcMar>
              <w:top w:w="60" w:type="dxa"/>
              <w:start w:w="100" w:type="dxa"/>
              <w:bottom w:w="60" w:type="dxa"/>
              <w:end w:w="100" w:type="dxa"/>
            </w:tcMar>
          </w:tcPr>
          <w:p>
            <w:pPr>
              <w:spacing w:after="0"/>
            </w:pPr>
            <w:r/>
            <w:r>
              <w:rPr>
                <w:rFonts w:ascii="Calibri" w:hAnsi="Calibri"/>
                <w:sz w:val="19"/>
              </w:rPr>
              <w:t>8</w:t>
            </w:r>
          </w:p>
        </w:tc>
      </w:tr>
      <w:tr>
        <w:tc>
          <w:tcPr>
            <w:tcW w:type="dxa" w:w="3264"/>
            <w:tcMar>
              <w:top w:w="60" w:type="dxa"/>
              <w:start w:w="100" w:type="dxa"/>
              <w:bottom w:w="60" w:type="dxa"/>
              <w:end w:w="100" w:type="dxa"/>
            </w:tcMar>
          </w:tcPr>
          <w:p>
            <w:pPr>
              <w:spacing w:after="0"/>
            </w:pPr>
            <w:r/>
            <w:r>
              <w:rPr>
                <w:rFonts w:ascii="Calibri" w:hAnsi="Calibri"/>
                <w:sz w:val="19"/>
              </w:rPr>
              <w:t>Lead protection</w:t>
            </w:r>
          </w:p>
        </w:tc>
        <w:tc>
          <w:tcPr>
            <w:tcW w:type="dxa" w:w="3264"/>
            <w:tcMar>
              <w:top w:w="60" w:type="dxa"/>
              <w:start w:w="100" w:type="dxa"/>
              <w:bottom w:w="60" w:type="dxa"/>
              <w:end w:w="100" w:type="dxa"/>
            </w:tcMar>
          </w:tcPr>
          <w:p>
            <w:pPr>
              <w:spacing w:after="0"/>
            </w:pPr>
            <w:r/>
            <w:r>
              <w:rPr>
                <w:rFonts w:ascii="Calibri" w:hAnsi="Calibri"/>
                <w:sz w:val="19"/>
              </w:rPr>
              <w:t>Register first. 30 days of protected status on a registered lead, extendable</w:t>
            </w:r>
          </w:p>
        </w:tc>
        <w:tc>
          <w:tcPr>
            <w:tcW w:type="dxa" w:w="3264"/>
            <w:tcMar>
              <w:top w:w="60" w:type="dxa"/>
              <w:start w:w="100" w:type="dxa"/>
              <w:bottom w:w="60" w:type="dxa"/>
              <w:end w:w="100" w:type="dxa"/>
            </w:tcMar>
          </w:tcPr>
          <w:p>
            <w:pPr>
              <w:spacing w:after="0"/>
            </w:pPr>
            <w:r/>
            <w:r>
              <w:rPr>
                <w:rFonts w:ascii="Calibri" w:hAnsi="Calibri"/>
                <w:sz w:val="19"/>
              </w:rPr>
              <w:t>4</w:t>
            </w:r>
          </w:p>
        </w:tc>
      </w:tr>
      <w:tr>
        <w:tc>
          <w:tcPr>
            <w:tcW w:type="dxa" w:w="3264"/>
            <w:shd w:val="clear" w:color="auto" w:fill="F5F3FF"/>
            <w:tcMar>
              <w:top w:w="60" w:type="dxa"/>
              <w:start w:w="100" w:type="dxa"/>
              <w:bottom w:w="60" w:type="dxa"/>
              <w:end w:w="100" w:type="dxa"/>
            </w:tcMar>
          </w:tcPr>
          <w:p>
            <w:pPr>
              <w:spacing w:after="0"/>
            </w:pPr>
            <w:r/>
            <w:r>
              <w:rPr>
                <w:rFonts w:ascii="Calibri" w:hAnsi="Calibri"/>
                <w:sz w:val="19"/>
              </w:rPr>
              <w:t>Big expenses</w:t>
            </w:r>
          </w:p>
        </w:tc>
        <w:tc>
          <w:tcPr>
            <w:tcW w:type="dxa" w:w="3264"/>
            <w:shd w:val="clear" w:color="auto" w:fill="F5F3FF"/>
            <w:tcMar>
              <w:top w:w="60" w:type="dxa"/>
              <w:start w:w="100" w:type="dxa"/>
              <w:bottom w:w="60" w:type="dxa"/>
              <w:end w:w="100" w:type="dxa"/>
            </w:tcMar>
          </w:tcPr>
          <w:p>
            <w:pPr>
              <w:spacing w:after="0"/>
            </w:pPr>
            <w:r/>
            <w:r>
              <w:rPr>
                <w:rFonts w:ascii="Calibri" w:hAnsi="Calibri"/>
                <w:sz w:val="19"/>
              </w:rPr>
              <w:t>Anything above PKR 25,000 needs your written approval first</w:t>
            </w:r>
          </w:p>
        </w:tc>
        <w:tc>
          <w:tcPr>
            <w:tcW w:type="dxa" w:w="3264"/>
            <w:shd w:val="clear" w:color="auto" w:fill="F5F3FF"/>
            <w:tcMar>
              <w:top w:w="60" w:type="dxa"/>
              <w:start w:w="100" w:type="dxa"/>
              <w:bottom w:w="60" w:type="dxa"/>
              <w:end w:w="100" w:type="dxa"/>
            </w:tcMar>
          </w:tcPr>
          <w:p>
            <w:pPr>
              <w:spacing w:after="0"/>
            </w:pPr>
            <w:r/>
            <w:r>
              <w:rPr>
                <w:rFonts w:ascii="Calibri" w:hAnsi="Calibri"/>
                <w:sz w:val="19"/>
              </w:rPr>
              <w:t>7.5</w:t>
            </w:r>
          </w:p>
        </w:tc>
      </w:tr>
      <w:tr>
        <w:tc>
          <w:tcPr>
            <w:tcW w:type="dxa" w:w="3264"/>
            <w:tcMar>
              <w:top w:w="60" w:type="dxa"/>
              <w:start w:w="100" w:type="dxa"/>
              <w:bottom w:w="60" w:type="dxa"/>
              <w:end w:w="100" w:type="dxa"/>
            </w:tcMar>
          </w:tcPr>
          <w:p>
            <w:pPr>
              <w:spacing w:after="0"/>
            </w:pPr>
            <w:r/>
            <w:r>
              <w:rPr>
                <w:rFonts w:ascii="Calibri" w:hAnsi="Calibri"/>
                <w:sz w:val="19"/>
              </w:rPr>
              <w:t>Your clients stay yours</w:t>
            </w:r>
          </w:p>
        </w:tc>
        <w:tc>
          <w:tcPr>
            <w:tcW w:type="dxa" w:w="3264"/>
            <w:tcMar>
              <w:top w:w="60" w:type="dxa"/>
              <w:start w:w="100" w:type="dxa"/>
              <w:bottom w:w="60" w:type="dxa"/>
              <w:end w:w="100" w:type="dxa"/>
            </w:tcMar>
          </w:tcPr>
          <w:p>
            <w:pPr>
              <w:spacing w:after="0"/>
            </w:pPr>
            <w:r/>
            <w:r>
              <w:rPr>
                <w:rFonts w:ascii="Calibri" w:hAnsi="Calibri"/>
                <w:sz w:val="19"/>
              </w:rPr>
              <w:t>Registered leads are credited to you; disputes go to a joint review</w:t>
            </w:r>
          </w:p>
        </w:tc>
        <w:tc>
          <w:tcPr>
            <w:tcW w:type="dxa" w:w="3264"/>
            <w:tcMar>
              <w:top w:w="60" w:type="dxa"/>
              <w:start w:w="100" w:type="dxa"/>
              <w:bottom w:w="60" w:type="dxa"/>
              <w:end w:w="100" w:type="dxa"/>
            </w:tcMar>
          </w:tcPr>
          <w:p>
            <w:pPr>
              <w:spacing w:after="0"/>
            </w:pPr>
            <w:r/>
            <w:r>
              <w:rPr>
                <w:rFonts w:ascii="Calibri" w:hAnsi="Calibri"/>
                <w:sz w:val="19"/>
              </w:rPr>
              <w:t>4, 10</w:t>
            </w:r>
          </w:p>
        </w:tc>
      </w:tr>
      <w:tr>
        <w:tc>
          <w:tcPr>
            <w:tcW w:type="dxa" w:w="3264"/>
            <w:shd w:val="clear" w:color="auto" w:fill="F5F3FF"/>
            <w:tcMar>
              <w:top w:w="60" w:type="dxa"/>
              <w:start w:w="100" w:type="dxa"/>
              <w:bottom w:w="60" w:type="dxa"/>
              <w:end w:w="100" w:type="dxa"/>
            </w:tcMar>
          </w:tcPr>
          <w:p>
            <w:pPr>
              <w:spacing w:after="0"/>
            </w:pPr>
            <w:r/>
            <w:r>
              <w:rPr>
                <w:rFonts w:ascii="Calibri" w:hAnsi="Calibri"/>
                <w:sz w:val="19"/>
              </w:rPr>
              <w:t>Recurring income</w:t>
            </w:r>
          </w:p>
        </w:tc>
        <w:tc>
          <w:tcPr>
            <w:tcW w:type="dxa" w:w="3264"/>
            <w:shd w:val="clear" w:color="auto" w:fill="F5F3FF"/>
            <w:tcMar>
              <w:top w:w="60" w:type="dxa"/>
              <w:start w:w="100" w:type="dxa"/>
              <w:bottom w:w="60" w:type="dxa"/>
              <w:end w:w="100" w:type="dxa"/>
            </w:tcMar>
          </w:tcPr>
          <w:p>
            <w:pPr>
              <w:spacing w:after="0"/>
            </w:pPr>
            <w:r/>
            <w:r>
              <w:rPr>
                <w:rFonts w:ascii="Calibri" w:hAnsi="Calibri"/>
                <w:sz w:val="19"/>
              </w:rPr>
              <w:t>30% of net profit on renewals, hosting, maintenance and upsells while the partnership is active</w:t>
            </w:r>
          </w:p>
        </w:tc>
        <w:tc>
          <w:tcPr>
            <w:tcW w:type="dxa" w:w="3264"/>
            <w:shd w:val="clear" w:color="auto" w:fill="F5F3FF"/>
            <w:tcMar>
              <w:top w:w="60" w:type="dxa"/>
              <w:start w:w="100" w:type="dxa"/>
              <w:bottom w:w="60" w:type="dxa"/>
              <w:end w:w="100" w:type="dxa"/>
            </w:tcMar>
          </w:tcPr>
          <w:p>
            <w:pPr>
              <w:spacing w:after="0"/>
            </w:pPr>
            <w:r/>
            <w:r>
              <w:rPr>
                <w:rFonts w:ascii="Calibri" w:hAnsi="Calibri"/>
                <w:sz w:val="19"/>
              </w:rPr>
              <w:t>9</w:t>
            </w:r>
          </w:p>
        </w:tc>
      </w:tr>
      <w:tr>
        <w:tc>
          <w:tcPr>
            <w:tcW w:type="dxa" w:w="3264"/>
            <w:tcMar>
              <w:top w:w="60" w:type="dxa"/>
              <w:start w:w="100" w:type="dxa"/>
              <w:bottom w:w="60" w:type="dxa"/>
              <w:end w:w="100" w:type="dxa"/>
            </w:tcMar>
          </w:tcPr>
          <w:p>
            <w:pPr>
              <w:spacing w:after="0"/>
            </w:pPr>
            <w:r/>
            <w:r>
              <w:rPr>
                <w:rFonts w:ascii="Calibri" w:hAnsi="Calibri"/>
                <w:sz w:val="19"/>
              </w:rPr>
              <w:t>If the client does not pay</w:t>
            </w:r>
          </w:p>
        </w:tc>
        <w:tc>
          <w:tcPr>
            <w:tcW w:type="dxa" w:w="3264"/>
            <w:tcMar>
              <w:top w:w="60" w:type="dxa"/>
              <w:start w:w="100" w:type="dxa"/>
              <w:bottom w:w="60" w:type="dxa"/>
              <w:end w:w="100" w:type="dxa"/>
            </w:tcMar>
          </w:tcPr>
          <w:p>
            <w:pPr>
              <w:spacing w:after="0"/>
            </w:pPr>
            <w:r/>
            <w:r>
              <w:rPr>
                <w:rFonts w:ascii="Calibri" w:hAnsi="Calibri"/>
                <w:sz w:val="19"/>
              </w:rPr>
              <w:t>No commission on money never received — and never a charge against you for a loss</w:t>
            </w:r>
          </w:p>
        </w:tc>
        <w:tc>
          <w:tcPr>
            <w:tcW w:type="dxa" w:w="3264"/>
            <w:tcMar>
              <w:top w:w="60" w:type="dxa"/>
              <w:start w:w="100" w:type="dxa"/>
              <w:bottom w:w="60" w:type="dxa"/>
              <w:end w:w="100" w:type="dxa"/>
            </w:tcMar>
          </w:tcPr>
          <w:p>
            <w:pPr>
              <w:spacing w:after="0"/>
            </w:pPr>
            <w:r/>
            <w:r>
              <w:rPr>
                <w:rFonts w:ascii="Calibri" w:hAnsi="Calibri"/>
                <w:sz w:val="19"/>
              </w:rPr>
              <w:t>12</w:t>
            </w:r>
          </w:p>
        </w:tc>
      </w:tr>
      <w:tr>
        <w:tc>
          <w:tcPr>
            <w:tcW w:type="dxa" w:w="3264"/>
            <w:shd w:val="clear" w:color="auto" w:fill="F5F3FF"/>
            <w:tcMar>
              <w:top w:w="60" w:type="dxa"/>
              <w:start w:w="100" w:type="dxa"/>
              <w:bottom w:w="60" w:type="dxa"/>
              <w:end w:w="100" w:type="dxa"/>
            </w:tcMar>
          </w:tcPr>
          <w:p>
            <w:pPr>
              <w:spacing w:after="0"/>
            </w:pPr>
            <w:r/>
            <w:r>
              <w:rPr>
                <w:rFonts w:ascii="Calibri" w:hAnsi="Calibri"/>
                <w:sz w:val="19"/>
              </w:rPr>
              <w:t>After you leave</w:t>
            </w:r>
          </w:p>
        </w:tc>
        <w:tc>
          <w:tcPr>
            <w:tcW w:type="dxa" w:w="3264"/>
            <w:shd w:val="clear" w:color="auto" w:fill="F5F3FF"/>
            <w:tcMar>
              <w:top w:w="60" w:type="dxa"/>
              <w:start w:w="100" w:type="dxa"/>
              <w:bottom w:w="60" w:type="dxa"/>
              <w:end w:w="100" w:type="dxa"/>
            </w:tcMar>
          </w:tcPr>
          <w:p>
            <w:pPr>
              <w:spacing w:after="0"/>
            </w:pPr>
            <w:r/>
            <w:r>
              <w:rPr>
                <w:rFonts w:ascii="Calibri" w:hAnsi="Calibri"/>
                <w:sz w:val="19"/>
              </w:rPr>
              <w:t>90 days of tail protection on registered leads you introduced</w:t>
            </w:r>
          </w:p>
        </w:tc>
        <w:tc>
          <w:tcPr>
            <w:tcW w:type="dxa" w:w="3264"/>
            <w:shd w:val="clear" w:color="auto" w:fill="F5F3FF"/>
            <w:tcMar>
              <w:top w:w="60" w:type="dxa"/>
              <w:start w:w="100" w:type="dxa"/>
              <w:bottom w:w="60" w:type="dxa"/>
              <w:end w:w="100" w:type="dxa"/>
            </w:tcMar>
          </w:tcPr>
          <w:p>
            <w:pPr>
              <w:spacing w:after="0"/>
            </w:pPr>
            <w:r/>
            <w:r>
              <w:rPr>
                <w:rFonts w:ascii="Calibri" w:hAnsi="Calibri"/>
                <w:sz w:val="19"/>
              </w:rPr>
              <w:t>20.4</w:t>
            </w:r>
          </w:p>
        </w:tc>
      </w:tr>
      <w:tr>
        <w:tc>
          <w:tcPr>
            <w:tcW w:type="dxa" w:w="3264"/>
            <w:tcMar>
              <w:top w:w="60" w:type="dxa"/>
              <w:start w:w="100" w:type="dxa"/>
              <w:bottom w:w="60" w:type="dxa"/>
              <w:end w:w="100" w:type="dxa"/>
            </w:tcMar>
          </w:tcPr>
          <w:p>
            <w:pPr>
              <w:spacing w:after="0"/>
            </w:pPr>
            <w:r/>
            <w:r>
              <w:rPr>
                <w:rFonts w:ascii="Calibri" w:hAnsi="Calibri"/>
                <w:sz w:val="19"/>
              </w:rPr>
              <w:t>Trial</w:t>
            </w:r>
          </w:p>
        </w:tc>
        <w:tc>
          <w:tcPr>
            <w:tcW w:type="dxa" w:w="3264"/>
            <w:tcMar>
              <w:top w:w="60" w:type="dxa"/>
              <w:start w:w="100" w:type="dxa"/>
              <w:bottom w:w="60" w:type="dxa"/>
              <w:end w:w="100" w:type="dxa"/>
            </w:tcMar>
          </w:tcPr>
          <w:p>
            <w:pPr>
              <w:spacing w:after="0"/>
            </w:pPr>
            <w:r/>
            <w:r>
              <w:rPr>
                <w:rFonts w:ascii="Calibri" w:hAnsi="Calibri"/>
                <w:sz w:val="19"/>
              </w:rPr>
              <w:t>60 days, with published targets and a written review</w:t>
            </w:r>
          </w:p>
        </w:tc>
        <w:tc>
          <w:tcPr>
            <w:tcW w:type="dxa" w:w="3264"/>
            <w:tcMar>
              <w:top w:w="60" w:type="dxa"/>
              <w:start w:w="100" w:type="dxa"/>
              <w:bottom w:w="60" w:type="dxa"/>
              <w:end w:w="100" w:type="dxa"/>
            </w:tcMar>
          </w:tcPr>
          <w:p>
            <w:pPr>
              <w:spacing w:after="0"/>
            </w:pPr>
            <w:r/>
            <w:r>
              <w:rPr>
                <w:rFonts w:ascii="Calibri" w:hAnsi="Calibri"/>
                <w:sz w:val="19"/>
              </w:rPr>
              <w:t>11</w:t>
            </w:r>
          </w:p>
        </w:tc>
      </w:tr>
      <w:tr>
        <w:tc>
          <w:tcPr>
            <w:tcW w:type="dxa" w:w="3264"/>
            <w:shd w:val="clear" w:color="auto" w:fill="F5F3FF"/>
            <w:tcMar>
              <w:top w:w="60" w:type="dxa"/>
              <w:start w:w="100" w:type="dxa"/>
              <w:bottom w:w="60" w:type="dxa"/>
              <w:end w:w="100" w:type="dxa"/>
            </w:tcMar>
          </w:tcPr>
          <w:p>
            <w:pPr>
              <w:spacing w:after="0"/>
            </w:pPr>
            <w:r/>
            <w:r>
              <w:rPr>
                <w:rFonts w:ascii="Calibri" w:hAnsi="Calibri"/>
                <w:sz w:val="19"/>
              </w:rPr>
              <w:t>Non-exclusive</w:t>
            </w:r>
          </w:p>
        </w:tc>
        <w:tc>
          <w:tcPr>
            <w:tcW w:type="dxa" w:w="3264"/>
            <w:shd w:val="clear" w:color="auto" w:fill="F5F3FF"/>
            <w:tcMar>
              <w:top w:w="60" w:type="dxa"/>
              <w:start w:w="100" w:type="dxa"/>
              <w:bottom w:w="60" w:type="dxa"/>
              <w:end w:w="100" w:type="dxa"/>
            </w:tcMar>
          </w:tcPr>
          <w:p>
            <w:pPr>
              <w:spacing w:after="0"/>
            </w:pPr>
            <w:r/>
            <w:r>
              <w:rPr>
                <w:rFonts w:ascii="Calibri" w:hAnsi="Calibri"/>
                <w:sz w:val="19"/>
              </w:rPr>
              <w:t>Both sides can work with anyone else</w:t>
            </w:r>
          </w:p>
        </w:tc>
        <w:tc>
          <w:tcPr>
            <w:tcW w:type="dxa" w:w="3264"/>
            <w:shd w:val="clear" w:color="auto" w:fill="F5F3FF"/>
            <w:tcMar>
              <w:top w:w="60" w:type="dxa"/>
              <w:start w:w="100" w:type="dxa"/>
              <w:bottom w:w="60" w:type="dxa"/>
              <w:end w:w="100" w:type="dxa"/>
            </w:tcMar>
          </w:tcPr>
          <w:p>
            <w:pPr>
              <w:spacing w:after="0"/>
            </w:pPr>
            <w:r/>
            <w:r>
              <w:rPr>
                <w:rFonts w:ascii="Calibri" w:hAnsi="Calibri"/>
                <w:sz w:val="19"/>
              </w:rPr>
              <w:t>2.3</w:t>
            </w:r>
          </w:p>
        </w:tc>
      </w:tr>
      <w:tr>
        <w:tc>
          <w:tcPr>
            <w:tcW w:type="dxa" w:w="3264"/>
            <w:tcMar>
              <w:top w:w="60" w:type="dxa"/>
              <w:start w:w="100" w:type="dxa"/>
              <w:bottom w:w="60" w:type="dxa"/>
              <w:end w:w="100" w:type="dxa"/>
            </w:tcMar>
          </w:tcPr>
          <w:p>
            <w:pPr>
              <w:spacing w:after="0"/>
            </w:pPr>
            <w:r/>
            <w:r>
              <w:rPr>
                <w:rFonts w:ascii="Calibri" w:hAnsi="Calibri"/>
                <w:sz w:val="19"/>
              </w:rPr>
              <w:t>Your status</w:t>
            </w:r>
          </w:p>
        </w:tc>
        <w:tc>
          <w:tcPr>
            <w:tcW w:type="dxa" w:w="3264"/>
            <w:tcMar>
              <w:top w:w="60" w:type="dxa"/>
              <w:start w:w="100" w:type="dxa"/>
              <w:bottom w:w="60" w:type="dxa"/>
              <w:end w:w="100" w:type="dxa"/>
            </w:tcMar>
          </w:tcPr>
          <w:p>
            <w:pPr>
              <w:spacing w:after="0"/>
            </w:pPr>
            <w:r/>
            <w:r>
              <w:rPr>
                <w:rFonts w:ascii="Calibri" w:hAnsi="Calibri"/>
                <w:sz w:val="19"/>
              </w:rPr>
              <w:t>Independent contractor, not an employee. You handle your own taxes</w:t>
            </w:r>
          </w:p>
        </w:tc>
        <w:tc>
          <w:tcPr>
            <w:tcW w:type="dxa" w:w="3264"/>
            <w:tcMar>
              <w:top w:w="60" w:type="dxa"/>
              <w:start w:w="100" w:type="dxa"/>
              <w:bottom w:w="60" w:type="dxa"/>
              <w:end w:w="100" w:type="dxa"/>
            </w:tcMar>
          </w:tcPr>
          <w:p>
            <w:pPr>
              <w:spacing w:after="0"/>
            </w:pPr>
            <w:r/>
            <w:r>
              <w:rPr>
                <w:rFonts w:ascii="Calibri" w:hAnsi="Calibri"/>
                <w:sz w:val="19"/>
              </w:rPr>
              <w:t>18</w:t>
            </w:r>
          </w:p>
        </w:tc>
      </w:tr>
      <w:tr>
        <w:tc>
          <w:tcPr>
            <w:tcW w:type="dxa" w:w="3264"/>
            <w:shd w:val="clear" w:color="auto" w:fill="F5F3FF"/>
            <w:tcMar>
              <w:top w:w="60" w:type="dxa"/>
              <w:start w:w="100" w:type="dxa"/>
              <w:bottom w:w="60" w:type="dxa"/>
              <w:end w:w="100" w:type="dxa"/>
            </w:tcMar>
          </w:tcPr>
          <w:p>
            <w:pPr>
              <w:spacing w:after="0"/>
            </w:pPr>
            <w:r/>
            <w:r>
              <w:rPr>
                <w:rFonts w:ascii="Calibri" w:hAnsi="Calibri"/>
                <w:sz w:val="19"/>
              </w:rPr>
              <w:t>Not allowed</w:t>
            </w:r>
          </w:p>
        </w:tc>
        <w:tc>
          <w:tcPr>
            <w:tcW w:type="dxa" w:w="3264"/>
            <w:shd w:val="clear" w:color="auto" w:fill="F5F3FF"/>
            <w:tcMar>
              <w:top w:w="60" w:type="dxa"/>
              <w:start w:w="100" w:type="dxa"/>
              <w:bottom w:w="60" w:type="dxa"/>
              <w:end w:w="100" w:type="dxa"/>
            </w:tcMar>
          </w:tcPr>
          <w:p>
            <w:pPr>
              <w:spacing w:after="0"/>
            </w:pPr>
            <w:r/>
            <w:r>
              <w:rPr>
                <w:rFonts w:ascii="Calibri" w:hAnsi="Calibri"/>
                <w:sz w:val="19"/>
              </w:rPr>
              <w:t>Quoting prices without approval, discounts without approval, kickbacks, spam, contacting excluded clients</w:t>
            </w:r>
          </w:p>
        </w:tc>
        <w:tc>
          <w:tcPr>
            <w:tcW w:type="dxa" w:w="3264"/>
            <w:shd w:val="clear" w:color="auto" w:fill="F5F3FF"/>
            <w:tcMar>
              <w:top w:w="60" w:type="dxa"/>
              <w:start w:w="100" w:type="dxa"/>
              <w:bottom w:w="60" w:type="dxa"/>
              <w:end w:w="100" w:type="dxa"/>
            </w:tcMar>
          </w:tcPr>
          <w:p>
            <w:pPr>
              <w:spacing w:after="0"/>
            </w:pPr>
            <w:r/>
            <w:r>
              <w:rPr>
                <w:rFonts w:ascii="Calibri" w:hAnsi="Calibri"/>
                <w:sz w:val="19"/>
              </w:rPr>
              <w:t>3, 17</w:t>
            </w:r>
          </w:p>
        </w:tc>
      </w:tr>
      <w:tr>
        <w:tc>
          <w:tcPr>
            <w:tcW w:type="dxa" w:w="3264"/>
            <w:tcMar>
              <w:top w:w="60" w:type="dxa"/>
              <w:start w:w="100" w:type="dxa"/>
              <w:bottom w:w="60" w:type="dxa"/>
              <w:end w:w="100" w:type="dxa"/>
            </w:tcMar>
          </w:tcPr>
          <w:p>
            <w:pPr>
              <w:spacing w:after="0"/>
            </w:pPr>
            <w:r/>
            <w:r>
              <w:rPr>
                <w:rFonts w:ascii="Calibri" w:hAnsi="Calibri"/>
                <w:sz w:val="19"/>
              </w:rPr>
              <w:t>If we disagree</w:t>
            </w:r>
          </w:p>
        </w:tc>
        <w:tc>
          <w:tcPr>
            <w:tcW w:type="dxa" w:w="3264"/>
            <w:tcMar>
              <w:top w:w="60" w:type="dxa"/>
              <w:start w:w="100" w:type="dxa"/>
              <w:bottom w:w="60" w:type="dxa"/>
              <w:end w:w="100" w:type="dxa"/>
            </w:tcMar>
          </w:tcPr>
          <w:p>
            <w:pPr>
              <w:spacing w:after="0"/>
            </w:pPr>
            <w:r/>
            <w:r>
              <w:rPr>
                <w:rFonts w:ascii="Calibri" w:hAnsi="Calibri"/>
                <w:sz w:val="19"/>
              </w:rPr>
              <w:t>Good-faith talk, then the courts at Lahore under the laws of Pakistan</w:t>
            </w:r>
          </w:p>
        </w:tc>
        <w:tc>
          <w:tcPr>
            <w:tcW w:type="dxa" w:w="3264"/>
            <w:tcMar>
              <w:top w:w="60" w:type="dxa"/>
              <w:start w:w="100" w:type="dxa"/>
              <w:bottom w:w="60" w:type="dxa"/>
              <w:end w:w="100" w:type="dxa"/>
            </w:tcMar>
          </w:tcPr>
          <w:p>
            <w:pPr>
              <w:spacing w:after="0"/>
            </w:pPr>
            <w:r/>
            <w:r>
              <w:rPr>
                <w:rFonts w:ascii="Calibri" w:hAnsi="Calibri"/>
                <w:sz w:val="19"/>
              </w:rPr>
              <w:t>21</w:t>
            </w:r>
          </w:p>
        </w:tc>
      </w:tr>
    </w:tbl>
    <w:p>
      <w:pPr>
        <w:spacing w:after="40"/>
      </w:pPr>
    </w:p>
    <w:p>
      <w:pPr>
        <w:spacing w:before="40" w:after="120"/>
        <w:pBdr>
          <w:bottom w:val="single" w:sz="8" w:space="4" w:color="E5E1F5"/>
        </w:pBdr>
      </w:pPr>
    </w:p>
    <w:p>
      <w:pPr>
        <w:spacing w:before="320" w:after="80"/>
      </w:pPr>
      <w:r>
        <w:rPr>
          <w:b/>
          <w:color w:val="6D28D9"/>
          <w:sz w:val="30"/>
        </w:rPr>
        <w:t>Sales Partnership Agreement</w:t>
      </w:r>
    </w:p>
    <w:p>
      <w:r>
        <w:rPr>
          <w:rFonts w:ascii="Calibri" w:hAnsi="Calibri"/>
          <w:b/>
          <w:color w:val="4C1D95"/>
          <w:sz w:val="21"/>
        </w:rPr>
        <w:t>THIS AGREEMENT</w:t>
      </w:r>
      <w:r>
        <w:rPr>
          <w:rFonts w:ascii="Calibri" w:hAnsi="Calibri"/>
          <w:sz w:val="21"/>
        </w:rPr>
        <w:t xml:space="preserve"> is made on </w:t>
      </w:r>
      <w:r>
        <w:rPr>
          <w:rFonts w:ascii="Calibri" w:hAnsi="Calibri"/>
          <w:b/>
          <w:color w:val="4C1D95"/>
          <w:sz w:val="21"/>
        </w:rPr>
        <w:t>[DATE]</w:t>
      </w:r>
      <w:r>
        <w:rPr>
          <w:rFonts w:ascii="Calibri" w:hAnsi="Calibri"/>
          <w:sz w:val="21"/>
        </w:rPr>
        <w:t xml:space="preserve"> between:</w:t>
      </w:r>
    </w:p>
    <w:p>
      <w:r>
        <w:rPr>
          <w:rFonts w:ascii="Calibri" w:hAnsi="Calibri"/>
          <w:b/>
          <w:color w:val="4C1D95"/>
          <w:sz w:val="21"/>
        </w:rPr>
        <w:t>(1) Devzard</w:t>
      </w:r>
      <w:r>
        <w:rPr>
          <w:rFonts w:ascii="Calibri" w:hAnsi="Calibri"/>
          <w:sz w:val="21"/>
        </w:rPr>
        <w:t xml:space="preserve"> — [FULL LEGAL NAME OF BUSINESS], [REGISTERED ADDRESS], Pakistan, contact: [NAME], [EMAIL], [PHONE] ("</w:t>
      </w:r>
      <w:r>
        <w:rPr>
          <w:rFonts w:ascii="Calibri" w:hAnsi="Calibri"/>
          <w:b/>
          <w:color w:val="4C1D95"/>
          <w:sz w:val="21"/>
        </w:rPr>
        <w:t>Devzard</w:t>
      </w:r>
      <w:r>
        <w:rPr>
          <w:rFonts w:ascii="Calibri" w:hAnsi="Calibri"/>
          <w:sz w:val="21"/>
        </w:rPr>
        <w:t>", "</w:t>
      </w:r>
      <w:r>
        <w:rPr>
          <w:rFonts w:ascii="Calibri" w:hAnsi="Calibri"/>
          <w:b/>
          <w:color w:val="4C1D95"/>
          <w:sz w:val="21"/>
        </w:rPr>
        <w:t>we</w:t>
      </w:r>
      <w:r>
        <w:rPr>
          <w:rFonts w:ascii="Calibri" w:hAnsi="Calibri"/>
          <w:sz w:val="21"/>
        </w:rPr>
        <w:t>", "</w:t>
      </w:r>
      <w:r>
        <w:rPr>
          <w:rFonts w:ascii="Calibri" w:hAnsi="Calibri"/>
          <w:b/>
          <w:color w:val="4C1D95"/>
          <w:sz w:val="21"/>
        </w:rPr>
        <w:t>us</w:t>
      </w:r>
      <w:r>
        <w:rPr>
          <w:rFonts w:ascii="Calibri" w:hAnsi="Calibri"/>
          <w:sz w:val="21"/>
        </w:rPr>
        <w:t>"); and</w:t>
      </w:r>
    </w:p>
    <w:p>
      <w:r>
        <w:rPr>
          <w:rFonts w:ascii="Calibri" w:hAnsi="Calibri"/>
          <w:b/>
          <w:color w:val="4C1D95"/>
          <w:sz w:val="21"/>
        </w:rPr>
        <w:t>(2) [PARTNER FULL NAME]</w:t>
      </w:r>
      <w:r>
        <w:rPr>
          <w:rFonts w:ascii="Calibri" w:hAnsi="Calibri"/>
          <w:sz w:val="21"/>
        </w:rPr>
        <w:t xml:space="preserve"> — CNIC / ID No. [NUMBER], address [ADDRESS], contact: [EMAIL], [PHONE], bank account: [BANK, TITLE, IBAN] ("</w:t>
      </w:r>
      <w:r>
        <w:rPr>
          <w:rFonts w:ascii="Calibri" w:hAnsi="Calibri"/>
          <w:b/>
          <w:color w:val="4C1D95"/>
          <w:sz w:val="21"/>
        </w:rPr>
        <w:t>Sales Partner</w:t>
      </w:r>
      <w:r>
        <w:rPr>
          <w:rFonts w:ascii="Calibri" w:hAnsi="Calibri"/>
          <w:sz w:val="21"/>
        </w:rPr>
        <w:t>", "</w:t>
      </w:r>
      <w:r>
        <w:rPr>
          <w:rFonts w:ascii="Calibri" w:hAnsi="Calibri"/>
          <w:b/>
          <w:color w:val="4C1D95"/>
          <w:sz w:val="21"/>
        </w:rPr>
        <w:t>you</w:t>
      </w:r>
      <w:r>
        <w:rPr>
          <w:rFonts w:ascii="Calibri" w:hAnsi="Calibri"/>
          <w:sz w:val="21"/>
        </w:rPr>
        <w:t>").</w:t>
      </w:r>
    </w:p>
    <w:p>
      <w:r>
        <w:rPr>
          <w:rFonts w:ascii="Calibri" w:hAnsi="Calibri"/>
          <w:sz w:val="21"/>
        </w:rPr>
        <w:t>Devzard and the Sales Partner are each a "</w:t>
      </w:r>
      <w:r>
        <w:rPr>
          <w:rFonts w:ascii="Calibri" w:hAnsi="Calibri"/>
          <w:b/>
          <w:color w:val="4C1D95"/>
          <w:sz w:val="21"/>
        </w:rPr>
        <w:t>Party</w:t>
      </w:r>
      <w:r>
        <w:rPr>
          <w:rFonts w:ascii="Calibri" w:hAnsi="Calibri"/>
          <w:sz w:val="21"/>
        </w:rPr>
        <w:t>" and together the "</w:t>
      </w:r>
      <w:r>
        <w:rPr>
          <w:rFonts w:ascii="Calibri" w:hAnsi="Calibri"/>
          <w:b/>
          <w:color w:val="4C1D95"/>
          <w:sz w:val="21"/>
        </w:rPr>
        <w:t>Parties</w:t>
      </w:r>
      <w:r>
        <w:rPr>
          <w:rFonts w:ascii="Calibri" w:hAnsi="Calibri"/>
          <w:sz w:val="21"/>
        </w:rPr>
        <w:t>".</w:t>
      </w:r>
    </w:p>
    <w:p>
      <w:pPr>
        <w:spacing w:before="220" w:after="60"/>
      </w:pPr>
      <w:r>
        <w:rPr>
          <w:b/>
          <w:color w:val="120B2E"/>
          <w:sz w:val="24"/>
        </w:rPr>
        <w:t>Recitals</w:t>
      </w:r>
    </w:p>
    <w:p>
      <w:pPr>
        <w:spacing w:after="60"/>
        <w:ind w:left="317" w:hanging="317"/>
      </w:pPr>
      <w:r>
        <w:rPr>
          <w:b/>
          <w:color w:val="6D28D9"/>
          <w:sz w:val="21"/>
        </w:rPr>
        <w:t xml:space="preserve">•  </w:t>
      </w:r>
      <w:r>
        <w:rPr>
          <w:rFonts w:ascii="Calibri" w:hAnsi="Calibri"/>
          <w:b/>
          <w:color w:val="4C1D95"/>
          <w:sz w:val="21"/>
        </w:rPr>
        <w:t>A.</w:t>
      </w:r>
      <w:r>
        <w:rPr>
          <w:rFonts w:ascii="Calibri" w:hAnsi="Calibri"/>
          <w:sz w:val="21"/>
        </w:rPr>
        <w:t xml:space="preserve"> Devzard designs and develops websites, e-commerce stores, custom software and digital solutions for clients.</w:t>
      </w:r>
    </w:p>
    <w:p>
      <w:pPr>
        <w:spacing w:after="60"/>
        <w:ind w:left="317" w:hanging="317"/>
      </w:pPr>
      <w:r>
        <w:rPr>
          <w:b/>
          <w:color w:val="6D28D9"/>
          <w:sz w:val="21"/>
        </w:rPr>
        <w:t xml:space="preserve">•  </w:t>
      </w:r>
      <w:r>
        <w:rPr>
          <w:rFonts w:ascii="Calibri" w:hAnsi="Calibri"/>
          <w:b/>
          <w:color w:val="4C1D95"/>
          <w:sz w:val="21"/>
        </w:rPr>
        <w:t>B.</w:t>
      </w:r>
      <w:r>
        <w:rPr>
          <w:rFonts w:ascii="Calibri" w:hAnsi="Calibri"/>
          <w:sz w:val="21"/>
        </w:rPr>
        <w:t xml:space="preserve"> The Sales Partner has contacts, networks and market knowledge that can generate client opportunities for Devzard.</w:t>
      </w:r>
    </w:p>
    <w:p>
      <w:pPr>
        <w:spacing w:after="60"/>
        <w:ind w:left="317" w:hanging="317"/>
      </w:pPr>
      <w:r>
        <w:rPr>
          <w:b/>
          <w:color w:val="6D28D9"/>
          <w:sz w:val="21"/>
        </w:rPr>
        <w:t xml:space="preserve">•  </w:t>
      </w:r>
      <w:r>
        <w:rPr>
          <w:rFonts w:ascii="Calibri" w:hAnsi="Calibri"/>
          <w:b/>
          <w:color w:val="4C1D95"/>
          <w:sz w:val="21"/>
        </w:rPr>
        <w:t>C.</w:t>
      </w:r>
      <w:r>
        <w:rPr>
          <w:rFonts w:ascii="Calibri" w:hAnsi="Calibri"/>
          <w:sz w:val="21"/>
        </w:rPr>
        <w:t xml:space="preserve"> The Parties wish to work together on the terms set out below, under which the Sales Partner is rewarded with a share of the net profit of each successful project.</w:t>
      </w:r>
    </w:p>
    <w:p>
      <w:pPr>
        <w:spacing w:after="40"/>
      </w:pPr>
    </w:p>
    <w:p>
      <w:r>
        <w:rPr>
          <w:rFonts w:ascii="Calibri" w:hAnsi="Calibri"/>
          <w:b/>
          <w:color w:val="4C1D95"/>
          <w:sz w:val="21"/>
        </w:rPr>
        <w:t>IT IS AGREED AS FOLLOWS.</w:t>
      </w:r>
    </w:p>
    <w:p>
      <w:pPr>
        <w:spacing w:before="40" w:after="120"/>
        <w:pBdr>
          <w:bottom w:val="single" w:sz="8" w:space="4" w:color="E5E1F5"/>
        </w:pBdr>
      </w:pPr>
    </w:p>
    <w:p>
      <w:pPr>
        <w:spacing w:before="320" w:after="80"/>
      </w:pPr>
      <w:r>
        <w:rPr>
          <w:b/>
          <w:color w:val="6D28D9"/>
          <w:sz w:val="30"/>
        </w:rPr>
        <w:t>1. Definitions</w:t>
      </w:r>
    </w:p>
    <w:p>
      <w:r>
        <w:rPr>
          <w:rFonts w:ascii="Calibri" w:hAnsi="Calibri"/>
          <w:b/>
          <w:color w:val="4C1D95"/>
          <w:sz w:val="21"/>
        </w:rPr>
        <w:t>1.1</w:t>
      </w:r>
      <w:r>
        <w:rPr>
          <w:rFonts w:ascii="Calibri" w:hAnsi="Calibri"/>
          <w:sz w:val="21"/>
        </w:rPr>
        <w:t xml:space="preserve"> In this Agreement:</w:t>
      </w:r>
    </w:p>
    <w:p>
      <w:pPr>
        <w:spacing w:after="60"/>
        <w:ind w:left="317" w:hanging="317"/>
      </w:pPr>
      <w:r>
        <w:rPr>
          <w:b/>
          <w:color w:val="6D28D9"/>
          <w:sz w:val="21"/>
        </w:rPr>
        <w:t xml:space="preserve">•  </w:t>
      </w:r>
      <w:r>
        <w:rPr>
          <w:rFonts w:ascii="Calibri" w:hAnsi="Calibri"/>
          <w:b/>
          <w:color w:val="4C1D95"/>
          <w:sz w:val="21"/>
        </w:rPr>
        <w:t>"Client"</w:t>
      </w:r>
      <w:r>
        <w:rPr>
          <w:rFonts w:ascii="Calibri" w:hAnsi="Calibri"/>
          <w:sz w:val="21"/>
        </w:rPr>
        <w:t xml:space="preserve"> means a person or business that Devzard, introduced by the Sales Partner, enters into a contract with for Services.</w:t>
      </w:r>
    </w:p>
    <w:p>
      <w:pPr>
        <w:spacing w:after="60"/>
        <w:ind w:left="317" w:hanging="317"/>
      </w:pPr>
      <w:r>
        <w:rPr>
          <w:b/>
          <w:color w:val="6D28D9"/>
          <w:sz w:val="21"/>
        </w:rPr>
        <w:t xml:space="preserve">•  </w:t>
      </w:r>
      <w:r>
        <w:rPr>
          <w:rFonts w:ascii="Calibri" w:hAnsi="Calibri"/>
          <w:b/>
          <w:color w:val="4C1D95"/>
          <w:sz w:val="21"/>
        </w:rPr>
        <w:t>"Client Revenue"</w:t>
      </w:r>
      <w:r>
        <w:rPr>
          <w:rFonts w:ascii="Calibri" w:hAnsi="Calibri"/>
          <w:sz w:val="21"/>
        </w:rPr>
        <w:t xml:space="preserve"> means the gross amount invoiced to and payable by the Client for a Project, excluding sales tax and other taxes charged on the invoice.</w:t>
      </w:r>
    </w:p>
    <w:p>
      <w:pPr>
        <w:spacing w:after="60"/>
        <w:ind w:left="317" w:hanging="317"/>
      </w:pPr>
      <w:r>
        <w:rPr>
          <w:b/>
          <w:color w:val="6D28D9"/>
          <w:sz w:val="21"/>
        </w:rPr>
        <w:t xml:space="preserve">•  </w:t>
      </w:r>
      <w:r>
        <w:rPr>
          <w:rFonts w:ascii="Calibri" w:hAnsi="Calibri"/>
          <w:b/>
          <w:color w:val="4C1D95"/>
          <w:sz w:val="21"/>
        </w:rPr>
        <w:t>"Commission"</w:t>
      </w:r>
      <w:r>
        <w:rPr>
          <w:rFonts w:ascii="Calibri" w:hAnsi="Calibri"/>
          <w:sz w:val="21"/>
        </w:rPr>
        <w:t xml:space="preserve"> means 30% of Net Profit, calculated under clause 7.</w:t>
      </w:r>
    </w:p>
    <w:p>
      <w:pPr>
        <w:spacing w:after="60"/>
        <w:ind w:left="317" w:hanging="317"/>
      </w:pPr>
      <w:r>
        <w:rPr>
          <w:b/>
          <w:color w:val="6D28D9"/>
          <w:sz w:val="21"/>
        </w:rPr>
        <w:t xml:space="preserve">•  </w:t>
      </w:r>
      <w:r>
        <w:rPr>
          <w:rFonts w:ascii="Calibri" w:hAnsi="Calibri"/>
          <w:b/>
          <w:color w:val="4C1D95"/>
          <w:sz w:val="21"/>
        </w:rPr>
        <w:t>"Direct Expenses"</w:t>
      </w:r>
      <w:r>
        <w:rPr>
          <w:rFonts w:ascii="Calibri" w:hAnsi="Calibri"/>
          <w:sz w:val="21"/>
        </w:rPr>
        <w:t xml:space="preserve"> means the project-specific, documented third-party costs defined in clause 7.3, and nothing else.</w:t>
      </w:r>
    </w:p>
    <w:p>
      <w:pPr>
        <w:spacing w:after="60"/>
        <w:ind w:left="317" w:hanging="317"/>
      </w:pPr>
      <w:r>
        <w:rPr>
          <w:b/>
          <w:color w:val="6D28D9"/>
          <w:sz w:val="21"/>
        </w:rPr>
        <w:t xml:space="preserve">•  </w:t>
      </w:r>
      <w:r>
        <w:rPr>
          <w:rFonts w:ascii="Calibri" w:hAnsi="Calibri"/>
          <w:b/>
          <w:color w:val="4C1D95"/>
          <w:sz w:val="21"/>
        </w:rPr>
        <w:t>"Excluded Entity"</w:t>
      </w:r>
      <w:r>
        <w:rPr>
          <w:rFonts w:ascii="Calibri" w:hAnsi="Calibri"/>
          <w:sz w:val="21"/>
        </w:rPr>
        <w:t xml:space="preserve"> means any business listed in Schedule D, or any business that Devzard has already contracted with or has an active written proposal or negotiation with at the date a lead is registered.</w:t>
      </w:r>
    </w:p>
    <w:p>
      <w:pPr>
        <w:spacing w:after="60"/>
        <w:ind w:left="317" w:hanging="317"/>
      </w:pPr>
      <w:r>
        <w:rPr>
          <w:b/>
          <w:color w:val="6D28D9"/>
          <w:sz w:val="21"/>
        </w:rPr>
        <w:t xml:space="preserve">•  </w:t>
      </w:r>
      <w:r>
        <w:rPr>
          <w:rFonts w:ascii="Calibri" w:hAnsi="Calibri"/>
          <w:b/>
          <w:color w:val="4C1D95"/>
          <w:sz w:val="21"/>
        </w:rPr>
        <w:t>"Lead"</w:t>
      </w:r>
      <w:r>
        <w:rPr>
          <w:rFonts w:ascii="Calibri" w:hAnsi="Calibri"/>
          <w:sz w:val="21"/>
        </w:rPr>
        <w:t xml:space="preserve"> means a prospective Client identified by the Sales Partner.</w:t>
      </w:r>
    </w:p>
    <w:p>
      <w:pPr>
        <w:spacing w:after="60"/>
        <w:ind w:left="317" w:hanging="317"/>
      </w:pPr>
      <w:r>
        <w:rPr>
          <w:b/>
          <w:color w:val="6D28D9"/>
          <w:sz w:val="21"/>
        </w:rPr>
        <w:t xml:space="preserve">•  </w:t>
      </w:r>
      <w:r>
        <w:rPr>
          <w:rFonts w:ascii="Calibri" w:hAnsi="Calibri"/>
          <w:b/>
          <w:color w:val="4C1D95"/>
          <w:sz w:val="21"/>
        </w:rPr>
        <w:t>"Net Profit"</w:t>
      </w:r>
      <w:r>
        <w:rPr>
          <w:rFonts w:ascii="Calibri" w:hAnsi="Calibri"/>
          <w:sz w:val="21"/>
        </w:rPr>
        <w:t xml:space="preserve"> means Client Revenue received, less Direct Expenses, as described in clause 7.</w:t>
      </w:r>
    </w:p>
    <w:p>
      <w:pPr>
        <w:spacing w:after="60"/>
        <w:ind w:left="317" w:hanging="317"/>
      </w:pPr>
      <w:r>
        <w:rPr>
          <w:b/>
          <w:color w:val="6D28D9"/>
          <w:sz w:val="21"/>
        </w:rPr>
        <w:t xml:space="preserve">•  </w:t>
      </w:r>
      <w:r>
        <w:rPr>
          <w:rFonts w:ascii="Calibri" w:hAnsi="Calibri"/>
          <w:b/>
          <w:color w:val="4C1D95"/>
          <w:sz w:val="21"/>
        </w:rPr>
        <w:t>"Project"</w:t>
      </w:r>
      <w:r>
        <w:rPr>
          <w:rFonts w:ascii="Calibri" w:hAnsi="Calibri"/>
          <w:sz w:val="21"/>
        </w:rPr>
        <w:t xml:space="preserve"> means the delivery of Services to a Client under a contract between Devzard and that Client.</w:t>
      </w:r>
    </w:p>
    <w:p>
      <w:pPr>
        <w:spacing w:after="60"/>
        <w:ind w:left="317" w:hanging="317"/>
      </w:pPr>
      <w:r>
        <w:rPr>
          <w:b/>
          <w:color w:val="6D28D9"/>
          <w:sz w:val="21"/>
        </w:rPr>
        <w:t xml:space="preserve">•  </w:t>
      </w:r>
      <w:r>
        <w:rPr>
          <w:rFonts w:ascii="Calibri" w:hAnsi="Calibri"/>
          <w:b/>
          <w:color w:val="4C1D95"/>
          <w:sz w:val="21"/>
        </w:rPr>
        <w:t>"Qualified Lead"</w:t>
      </w:r>
      <w:r>
        <w:rPr>
          <w:rFonts w:ascii="Calibri" w:hAnsi="Calibri"/>
          <w:sz w:val="21"/>
        </w:rPr>
        <w:t xml:space="preserve"> means a Lead that has (a) a named decision-maker, (b) a genuine requirement that Devzard's Services can meet, and (c) agreed to a discovery conversation.</w:t>
      </w:r>
    </w:p>
    <w:p>
      <w:pPr>
        <w:spacing w:after="60"/>
        <w:ind w:left="317" w:hanging="317"/>
      </w:pPr>
      <w:r>
        <w:rPr>
          <w:b/>
          <w:color w:val="6D28D9"/>
          <w:sz w:val="21"/>
        </w:rPr>
        <w:t xml:space="preserve">•  </w:t>
      </w:r>
      <w:r>
        <w:rPr>
          <w:rFonts w:ascii="Calibri" w:hAnsi="Calibri"/>
          <w:b/>
          <w:color w:val="4C1D95"/>
          <w:sz w:val="21"/>
        </w:rPr>
        <w:t>"Registered Lead"</w:t>
      </w:r>
      <w:r>
        <w:rPr>
          <w:rFonts w:ascii="Calibri" w:hAnsi="Calibri"/>
          <w:sz w:val="21"/>
        </w:rPr>
        <w:t xml:space="preserve"> means a Lead recorded in the Lead Register and accepted by Devzard under clause 4.</w:t>
      </w:r>
    </w:p>
    <w:p>
      <w:pPr>
        <w:spacing w:after="60"/>
        <w:ind w:left="317" w:hanging="317"/>
      </w:pPr>
      <w:r>
        <w:rPr>
          <w:b/>
          <w:color w:val="6D28D9"/>
          <w:sz w:val="21"/>
        </w:rPr>
        <w:t xml:space="preserve">•  </w:t>
      </w:r>
      <w:r>
        <w:rPr>
          <w:rFonts w:ascii="Calibri" w:hAnsi="Calibri"/>
          <w:b/>
          <w:color w:val="4C1D95"/>
          <w:sz w:val="21"/>
        </w:rPr>
        <w:t>"Service"</w:t>
      </w:r>
      <w:r>
        <w:rPr>
          <w:rFonts w:ascii="Calibri" w:hAnsi="Calibri"/>
          <w:sz w:val="21"/>
        </w:rPr>
        <w:t xml:space="preserve"> or </w:t>
      </w:r>
      <w:r>
        <w:rPr>
          <w:rFonts w:ascii="Calibri" w:hAnsi="Calibri"/>
          <w:b/>
          <w:color w:val="4C1D95"/>
          <w:sz w:val="21"/>
        </w:rPr>
        <w:t>"Services"</w:t>
      </w:r>
      <w:r>
        <w:rPr>
          <w:rFonts w:ascii="Calibri" w:hAnsi="Calibri"/>
          <w:sz w:val="21"/>
        </w:rPr>
        <w:t xml:space="preserve"> means the design, development, marketing and digital services offered by Devzard from time to time, including those listed in Schedule A.</w:t>
      </w:r>
    </w:p>
    <w:p>
      <w:pPr>
        <w:spacing w:after="60"/>
        <w:ind w:left="317" w:hanging="317"/>
      </w:pPr>
      <w:r>
        <w:rPr>
          <w:b/>
          <w:color w:val="6D28D9"/>
          <w:sz w:val="21"/>
        </w:rPr>
        <w:t xml:space="preserve">•  </w:t>
      </w:r>
      <w:r>
        <w:rPr>
          <w:rFonts w:ascii="Calibri" w:hAnsi="Calibri"/>
          <w:b/>
          <w:color w:val="4C1D95"/>
          <w:sz w:val="21"/>
        </w:rPr>
        <w:t>"Lead Register"</w:t>
      </w:r>
      <w:r>
        <w:rPr>
          <w:rFonts w:ascii="Calibri" w:hAnsi="Calibri"/>
          <w:sz w:val="21"/>
        </w:rPr>
        <w:t xml:space="preserve"> means the shared tracker identified in clause 4.1 (currently [PLATFORM / FILE NAME]).</w:t>
      </w:r>
    </w:p>
    <w:p>
      <w:pPr>
        <w:spacing w:after="60"/>
        <w:ind w:left="317" w:hanging="317"/>
      </w:pPr>
      <w:r>
        <w:rPr>
          <w:b/>
          <w:color w:val="6D28D9"/>
          <w:sz w:val="21"/>
        </w:rPr>
        <w:t xml:space="preserve">•  </w:t>
      </w:r>
      <w:r>
        <w:rPr>
          <w:rFonts w:ascii="Calibri" w:hAnsi="Calibri"/>
          <w:b/>
          <w:color w:val="4C1D95"/>
          <w:sz w:val="21"/>
        </w:rPr>
        <w:t>"Trial Period"</w:t>
      </w:r>
      <w:r>
        <w:rPr>
          <w:rFonts w:ascii="Calibri" w:hAnsi="Calibri"/>
          <w:sz w:val="21"/>
        </w:rPr>
        <w:t xml:space="preserve"> means the initial 60-day period described in clause 11.</w:t>
      </w:r>
    </w:p>
    <w:p>
      <w:pPr>
        <w:spacing w:after="40"/>
      </w:pPr>
    </w:p>
    <w:p>
      <w:r>
        <w:rPr>
          <w:rFonts w:ascii="Calibri" w:hAnsi="Calibri"/>
          <w:b/>
          <w:color w:val="4C1D95"/>
          <w:sz w:val="21"/>
        </w:rPr>
        <w:t>1.2</w:t>
      </w:r>
      <w:r>
        <w:rPr>
          <w:rFonts w:ascii="Calibri" w:hAnsi="Calibri"/>
          <w:sz w:val="21"/>
        </w:rPr>
        <w:t xml:space="preserve"> Headings are for convenience only. References to a clause include its sub-clauses. The singular includes the plural.</w:t>
      </w:r>
    </w:p>
    <w:p>
      <w:pPr>
        <w:spacing w:before="40" w:after="120"/>
        <w:pBdr>
          <w:bottom w:val="single" w:sz="8" w:space="4" w:color="E5E1F5"/>
        </w:pBdr>
      </w:pPr>
    </w:p>
    <w:p>
      <w:pPr>
        <w:spacing w:before="320" w:after="80"/>
      </w:pPr>
      <w:r>
        <w:rPr>
          <w:b/>
          <w:color w:val="6D28D9"/>
          <w:sz w:val="30"/>
        </w:rPr>
        <w:t>2. Appointment</w:t>
      </w:r>
    </w:p>
    <w:p>
      <w:r>
        <w:rPr>
          <w:rFonts w:ascii="Calibri" w:hAnsi="Calibri"/>
          <w:b/>
          <w:color w:val="4C1D95"/>
          <w:sz w:val="21"/>
        </w:rPr>
        <w:t>2.1</w:t>
      </w:r>
      <w:r>
        <w:rPr>
          <w:rFonts w:ascii="Calibri" w:hAnsi="Calibri"/>
          <w:sz w:val="21"/>
        </w:rPr>
        <w:t xml:space="preserve"> Devzard appoints the Sales Partner as a non-exclusive sales partner for its Services, and the Sales Partner accepts that appointment, on the terms of this Agreement.</w:t>
      </w:r>
    </w:p>
    <w:p>
      <w:r>
        <w:rPr>
          <w:rFonts w:ascii="Calibri" w:hAnsi="Calibri"/>
          <w:b/>
          <w:color w:val="4C1D95"/>
          <w:sz w:val="21"/>
        </w:rPr>
        <w:t>2.2</w:t>
      </w:r>
      <w:r>
        <w:rPr>
          <w:rFonts w:ascii="Calibri" w:hAnsi="Calibri"/>
          <w:sz w:val="21"/>
        </w:rPr>
        <w:t xml:space="preserve"> The Sales Partner's role is to identify and approach potential Clients, introduce them to Devzard, and support the opportunity to the point of a signed contract and payment. The Sales Partner is not required to perform, and must not attempt to perform, any technical, design or development work.</w:t>
      </w:r>
    </w:p>
    <w:p>
      <w:r>
        <w:rPr>
          <w:rFonts w:ascii="Calibri" w:hAnsi="Calibri"/>
          <w:b/>
          <w:color w:val="4C1D95"/>
          <w:sz w:val="21"/>
        </w:rPr>
        <w:t>2.3</w:t>
      </w:r>
      <w:r>
        <w:rPr>
          <w:rFonts w:ascii="Calibri" w:hAnsi="Calibri"/>
          <w:sz w:val="21"/>
        </w:rPr>
        <w:t xml:space="preserve"> </w:t>
      </w:r>
      <w:r>
        <w:rPr>
          <w:rFonts w:ascii="Calibri" w:hAnsi="Calibri"/>
          <w:b/>
          <w:color w:val="4C1D95"/>
          <w:sz w:val="21"/>
        </w:rPr>
        <w:t>Non-exclusive.</w:t>
      </w:r>
      <w:r>
        <w:rPr>
          <w:rFonts w:ascii="Calibri" w:hAnsi="Calibri"/>
          <w:sz w:val="21"/>
        </w:rPr>
        <w:t xml:space="preserve"> Neither Party is restricted from working with any other person or business. The Sales Partner may represent other agencies, hold other jobs, and run their own business.</w:t>
      </w:r>
    </w:p>
    <w:p>
      <w:r>
        <w:rPr>
          <w:rFonts w:ascii="Calibri" w:hAnsi="Calibri"/>
          <w:b/>
          <w:color w:val="4C1D95"/>
          <w:sz w:val="21"/>
        </w:rPr>
        <w:t>2.4</w:t>
      </w:r>
      <w:r>
        <w:rPr>
          <w:rFonts w:ascii="Calibri" w:hAnsi="Calibri"/>
          <w:sz w:val="21"/>
        </w:rPr>
        <w:t xml:space="preserve"> The Sales Partner has </w:t>
      </w:r>
      <w:r>
        <w:rPr>
          <w:rFonts w:ascii="Calibri" w:hAnsi="Calibri"/>
          <w:b/>
          <w:color w:val="4C1D95"/>
          <w:sz w:val="21"/>
        </w:rPr>
        <w:t>no authority</w:t>
      </w:r>
      <w:r>
        <w:rPr>
          <w:rFonts w:ascii="Calibri" w:hAnsi="Calibri"/>
          <w:sz w:val="21"/>
        </w:rPr>
        <w:t xml:space="preserve"> to negotiate, vary, sign, or terminate any contract with a Client, to quote or agree a price, or to make any commitment on Devzard's behalf. All contracts with Clients are between Devzard and the Client.</w:t>
      </w:r>
    </w:p>
    <w:p>
      <w:pPr>
        <w:spacing w:before="40" w:after="120"/>
        <w:pBdr>
          <w:bottom w:val="single" w:sz="8" w:space="4" w:color="E5E1F5"/>
        </w:pBdr>
      </w:pPr>
    </w:p>
    <w:p>
      <w:pPr>
        <w:spacing w:before="320" w:after="80"/>
      </w:pPr>
      <w:r>
        <w:rPr>
          <w:b/>
          <w:color w:val="6D28D9"/>
          <w:sz w:val="30"/>
        </w:rPr>
        <w:t>3. Sales Partner obligations</w:t>
      </w:r>
    </w:p>
    <w:p>
      <w:r>
        <w:rPr>
          <w:rFonts w:ascii="Calibri" w:hAnsi="Calibri"/>
          <w:b/>
          <w:color w:val="4C1D95"/>
          <w:sz w:val="21"/>
        </w:rPr>
        <w:t>3.1</w:t>
      </w:r>
      <w:r>
        <w:rPr>
          <w:rFonts w:ascii="Calibri" w:hAnsi="Calibri"/>
          <w:sz w:val="21"/>
        </w:rPr>
        <w:t xml:space="preserve"> The Sales Partner will:</w:t>
      </w:r>
    </w:p>
    <w:p>
      <w:pPr>
        <w:spacing w:after="60"/>
        <w:ind w:left="317" w:hanging="317"/>
      </w:pPr>
      <w:r>
        <w:rPr>
          <w:b/>
          <w:color w:val="6D28D9"/>
          <w:sz w:val="21"/>
        </w:rPr>
        <w:t xml:space="preserve">•  </w:t>
      </w:r>
      <w:r>
        <w:rPr>
          <w:rFonts w:ascii="Calibri" w:hAnsi="Calibri"/>
          <w:sz w:val="21"/>
        </w:rPr>
        <w:t>(a) identify and approach potential Clients through their own network, social media, community and business contacts;</w:t>
      </w:r>
    </w:p>
    <w:p>
      <w:pPr>
        <w:spacing w:after="60"/>
        <w:ind w:left="317" w:hanging="317"/>
      </w:pPr>
      <w:r>
        <w:rPr>
          <w:b/>
          <w:color w:val="6D28D9"/>
          <w:sz w:val="21"/>
        </w:rPr>
        <w:t xml:space="preserve">•  </w:t>
      </w:r>
      <w:r>
        <w:rPr>
          <w:rFonts w:ascii="Calibri" w:hAnsi="Calibri"/>
          <w:sz w:val="21"/>
        </w:rPr>
        <w:t>(b) describe Devzard's Services accurately and only in the terms provided in the current service catalogue and pitch materials;</w:t>
      </w:r>
    </w:p>
    <w:p>
      <w:pPr>
        <w:spacing w:after="60"/>
        <w:ind w:left="317" w:hanging="317"/>
      </w:pPr>
      <w:r>
        <w:rPr>
          <w:b/>
          <w:color w:val="6D28D9"/>
          <w:sz w:val="21"/>
        </w:rPr>
        <w:t xml:space="preserve">•  </w:t>
      </w:r>
      <w:r>
        <w:rPr>
          <w:rFonts w:ascii="Calibri" w:hAnsi="Calibri"/>
          <w:sz w:val="21"/>
        </w:rPr>
        <w:t xml:space="preserve">(c) register each Lead in the Lead Register </w:t>
      </w:r>
      <w:r>
        <w:rPr>
          <w:rFonts w:ascii="Calibri" w:hAnsi="Calibri"/>
          <w:b/>
          <w:color w:val="4C1D95"/>
          <w:sz w:val="21"/>
        </w:rPr>
        <w:t>before</w:t>
      </w:r>
      <w:r>
        <w:rPr>
          <w:rFonts w:ascii="Calibri" w:hAnsi="Calibri"/>
          <w:sz w:val="21"/>
        </w:rPr>
        <w:t xml:space="preserve"> contacting it (clause 4);</w:t>
      </w:r>
    </w:p>
    <w:p>
      <w:pPr>
        <w:spacing w:after="60"/>
        <w:ind w:left="317" w:hanging="317"/>
      </w:pPr>
      <w:r>
        <w:rPr>
          <w:b/>
          <w:color w:val="6D28D9"/>
          <w:sz w:val="21"/>
        </w:rPr>
        <w:t xml:space="preserve">•  </w:t>
      </w:r>
      <w:r>
        <w:rPr>
          <w:rFonts w:ascii="Calibri" w:hAnsi="Calibri"/>
          <w:sz w:val="21"/>
        </w:rPr>
        <w:t>(d) gather the basic qualifying information for each Lead and record it in the Lead Register;</w:t>
      </w:r>
    </w:p>
    <w:p>
      <w:pPr>
        <w:spacing w:after="60"/>
        <w:ind w:left="317" w:hanging="317"/>
      </w:pPr>
      <w:r>
        <w:rPr>
          <w:b/>
          <w:color w:val="6D28D9"/>
          <w:sz w:val="21"/>
        </w:rPr>
        <w:t xml:space="preserve">•  </w:t>
      </w:r>
      <w:r>
        <w:rPr>
          <w:rFonts w:ascii="Calibri" w:hAnsi="Calibri"/>
          <w:sz w:val="21"/>
        </w:rPr>
        <w:t>(e) keep in touch with the Client after the contract is signed, without interfering with Devzard's delivery of the Services;</w:t>
      </w:r>
    </w:p>
    <w:p>
      <w:pPr>
        <w:spacing w:after="60"/>
        <w:ind w:left="317" w:hanging="317"/>
      </w:pPr>
      <w:r>
        <w:rPr>
          <w:b/>
          <w:color w:val="6D28D9"/>
          <w:sz w:val="21"/>
        </w:rPr>
        <w:t xml:space="preserve">•  </w:t>
      </w:r>
      <w:r>
        <w:rPr>
          <w:rFonts w:ascii="Calibri" w:hAnsi="Calibri"/>
          <w:sz w:val="21"/>
        </w:rPr>
        <w:t>(f) respond to Client and Devzard communications within 24 hours on business days;</w:t>
      </w:r>
    </w:p>
    <w:p>
      <w:pPr>
        <w:spacing w:after="60"/>
        <w:ind w:left="317" w:hanging="317"/>
      </w:pPr>
      <w:r>
        <w:rPr>
          <w:b/>
          <w:color w:val="6D28D9"/>
          <w:sz w:val="21"/>
        </w:rPr>
        <w:t xml:space="preserve">•  </w:t>
      </w:r>
      <w:r>
        <w:rPr>
          <w:rFonts w:ascii="Calibri" w:hAnsi="Calibri"/>
          <w:sz w:val="21"/>
        </w:rPr>
        <w:t>(g) keep Devzard informed of the status of every Lead and opportunity at least weekly, and immediately on any material development;</w:t>
      </w:r>
    </w:p>
    <w:p>
      <w:pPr>
        <w:spacing w:after="60"/>
        <w:ind w:left="317" w:hanging="317"/>
      </w:pPr>
      <w:r>
        <w:rPr>
          <w:b/>
          <w:color w:val="6D28D9"/>
          <w:sz w:val="21"/>
        </w:rPr>
        <w:t xml:space="preserve">•  </w:t>
      </w:r>
      <w:r>
        <w:rPr>
          <w:rFonts w:ascii="Calibri" w:hAnsi="Calibri"/>
          <w:sz w:val="21"/>
        </w:rPr>
        <w:t>(h) comply with all applicable laws, and with reasonable instructions from Devzard regarding brand, tone and messaging.</w:t>
      </w:r>
    </w:p>
    <w:p>
      <w:pPr>
        <w:spacing w:after="40"/>
      </w:pPr>
    </w:p>
    <w:p>
      <w:r>
        <w:rPr>
          <w:rFonts w:ascii="Calibri" w:hAnsi="Calibri"/>
          <w:b/>
          <w:color w:val="4C1D95"/>
          <w:sz w:val="21"/>
        </w:rPr>
        <w:t>3.2</w:t>
      </w:r>
      <w:r>
        <w:rPr>
          <w:rFonts w:ascii="Calibri" w:hAnsi="Calibri"/>
          <w:sz w:val="21"/>
        </w:rPr>
        <w:t xml:space="preserve"> The Sales Partner will </w:t>
      </w:r>
      <w:r>
        <w:rPr>
          <w:rFonts w:ascii="Calibri" w:hAnsi="Calibri"/>
          <w:b/>
          <w:color w:val="4C1D95"/>
          <w:sz w:val="21"/>
        </w:rPr>
        <w:t>not</w:t>
      </w:r>
      <w:r>
        <w:rPr>
          <w:rFonts w:ascii="Calibri" w:hAnsi="Calibri"/>
          <w:sz w:val="21"/>
        </w:rPr>
        <w:t>:</w:t>
      </w:r>
    </w:p>
    <w:p>
      <w:pPr>
        <w:spacing w:after="60"/>
        <w:ind w:left="317" w:hanging="317"/>
      </w:pPr>
      <w:r>
        <w:rPr>
          <w:b/>
          <w:color w:val="6D28D9"/>
          <w:sz w:val="21"/>
        </w:rPr>
        <w:t xml:space="preserve">•  </w:t>
      </w:r>
      <w:r>
        <w:rPr>
          <w:rFonts w:ascii="Calibri" w:hAnsi="Calibri"/>
          <w:sz w:val="21"/>
        </w:rPr>
        <w:t>(a) quote, promise, estimate or discuss a price, discount, payment schedule or delivery date without prior written approval from Devzard;</w:t>
      </w:r>
    </w:p>
    <w:p>
      <w:pPr>
        <w:spacing w:after="60"/>
        <w:ind w:left="317" w:hanging="317"/>
      </w:pPr>
      <w:r>
        <w:rPr>
          <w:b/>
          <w:color w:val="6D28D9"/>
          <w:sz w:val="21"/>
        </w:rPr>
        <w:t xml:space="preserve">•  </w:t>
      </w:r>
      <w:r>
        <w:rPr>
          <w:rFonts w:ascii="Calibri" w:hAnsi="Calibri"/>
          <w:sz w:val="21"/>
        </w:rPr>
        <w:t>(b) offer any discount, rebate, gift or inducement to a Client, or to any employee or representative of a Client, without prior written approval from Devzard;</w:t>
      </w:r>
    </w:p>
    <w:p>
      <w:pPr>
        <w:spacing w:after="60"/>
        <w:ind w:left="317" w:hanging="317"/>
      </w:pPr>
      <w:r>
        <w:rPr>
          <w:b/>
          <w:color w:val="6D28D9"/>
          <w:sz w:val="21"/>
        </w:rPr>
        <w:t xml:space="preserve">•  </w:t>
      </w:r>
      <w:r>
        <w:rPr>
          <w:rFonts w:ascii="Calibri" w:hAnsi="Calibri"/>
          <w:sz w:val="21"/>
        </w:rPr>
        <w:t>(c) make any statement that Devzard is able to deliver something that has not been confirmed in writing by Devzard;</w:t>
      </w:r>
    </w:p>
    <w:p>
      <w:pPr>
        <w:spacing w:after="60"/>
        <w:ind w:left="317" w:hanging="317"/>
      </w:pPr>
      <w:r>
        <w:rPr>
          <w:b/>
          <w:color w:val="6D28D9"/>
          <w:sz w:val="21"/>
        </w:rPr>
        <w:t xml:space="preserve">•  </w:t>
      </w:r>
      <w:r>
        <w:rPr>
          <w:rFonts w:ascii="Calibri" w:hAnsi="Calibri"/>
          <w:sz w:val="21"/>
        </w:rPr>
        <w:t>(d) represent themselves as an employee, officer, agent or legal representative of Devzard, or use Devzard's name or marks except as permitted under clause 17.5;</w:t>
      </w:r>
    </w:p>
    <w:p>
      <w:pPr>
        <w:spacing w:after="60"/>
        <w:ind w:left="317" w:hanging="317"/>
      </w:pPr>
      <w:r>
        <w:rPr>
          <w:b/>
          <w:color w:val="6D28D9"/>
          <w:sz w:val="21"/>
        </w:rPr>
        <w:t xml:space="preserve">•  </w:t>
      </w:r>
      <w:r>
        <w:rPr>
          <w:rFonts w:ascii="Calibri" w:hAnsi="Calibri"/>
          <w:sz w:val="21"/>
        </w:rPr>
        <w:t>(e) approach any Excluded Entity;</w:t>
      </w:r>
    </w:p>
    <w:p>
      <w:pPr>
        <w:spacing w:after="60"/>
        <w:ind w:left="317" w:hanging="317"/>
      </w:pPr>
      <w:r>
        <w:rPr>
          <w:b/>
          <w:color w:val="6D28D9"/>
          <w:sz w:val="21"/>
        </w:rPr>
        <w:t xml:space="preserve">•  </w:t>
      </w:r>
      <w:r>
        <w:rPr>
          <w:rFonts w:ascii="Calibri" w:hAnsi="Calibri"/>
          <w:sz w:val="21"/>
        </w:rPr>
        <w:t>(f) send unsolicited bulk or "spam" communications, or contact anyone who has asked not to be contacted;</w:t>
      </w:r>
    </w:p>
    <w:p>
      <w:pPr>
        <w:spacing w:after="60"/>
        <w:ind w:left="317" w:hanging="317"/>
      </w:pPr>
      <w:r>
        <w:rPr>
          <w:b/>
          <w:color w:val="6D28D9"/>
          <w:sz w:val="21"/>
        </w:rPr>
        <w:t xml:space="preserve">•  </w:t>
      </w:r>
      <w:r>
        <w:rPr>
          <w:rFonts w:ascii="Calibri" w:hAnsi="Calibri"/>
          <w:sz w:val="21"/>
        </w:rPr>
        <w:t>(g) collect, request or receive any payment from a Client, or accept money on Devzard's behalf;</w:t>
      </w:r>
    </w:p>
    <w:p>
      <w:pPr>
        <w:spacing w:after="60"/>
        <w:ind w:left="317" w:hanging="317"/>
      </w:pPr>
      <w:r>
        <w:rPr>
          <w:b/>
          <w:color w:val="6D28D9"/>
          <w:sz w:val="21"/>
        </w:rPr>
        <w:t xml:space="preserve">•  </w:t>
      </w:r>
      <w:r>
        <w:rPr>
          <w:rFonts w:ascii="Calibri" w:hAnsi="Calibri"/>
          <w:sz w:val="21"/>
        </w:rPr>
        <w:t>(h) make any commitment regarding the ownership, licensing or hosting of a Client's data or website beyond what is stated in Devzard's standard client terms.</w:t>
      </w:r>
    </w:p>
    <w:p>
      <w:pPr>
        <w:spacing w:after="40"/>
      </w:pPr>
    </w:p>
    <w:p>
      <w:pPr>
        <w:spacing w:before="40" w:after="120"/>
        <w:pBdr>
          <w:bottom w:val="single" w:sz="8" w:space="4" w:color="E5E1F5"/>
        </w:pBdr>
      </w:pPr>
    </w:p>
    <w:p>
      <w:pPr>
        <w:spacing w:before="320" w:after="80"/>
      </w:pPr>
      <w:r>
        <w:rPr>
          <w:b/>
          <w:color w:val="6D28D9"/>
          <w:sz w:val="30"/>
        </w:rPr>
        <w:t>4. Lead registration and attribution</w:t>
      </w:r>
    </w:p>
    <w:p>
      <w:r>
        <w:rPr>
          <w:rFonts w:ascii="Calibri" w:hAnsi="Calibri"/>
          <w:b/>
          <w:color w:val="4C1D95"/>
          <w:sz w:val="21"/>
        </w:rPr>
        <w:t>4.1</w:t>
      </w:r>
      <w:r>
        <w:rPr>
          <w:rFonts w:ascii="Calibri" w:hAnsi="Calibri"/>
          <w:sz w:val="21"/>
        </w:rPr>
        <w:t xml:space="preserve"> Devzard will maintain a shared Lead Register at [PLATFORM / FILE NAME], accessible to the Sales Partner, in which Leads are recorded with: date, business name, contact name and designation, contact details, source, industry, requirement summary and estimated value.</w:t>
      </w:r>
    </w:p>
    <w:p>
      <w:r>
        <w:rPr>
          <w:rFonts w:ascii="Calibri" w:hAnsi="Calibri"/>
          <w:b/>
          <w:color w:val="4C1D95"/>
          <w:sz w:val="21"/>
        </w:rPr>
        <w:t>4.2</w:t>
      </w:r>
      <w:r>
        <w:rPr>
          <w:rFonts w:ascii="Calibri" w:hAnsi="Calibri"/>
          <w:sz w:val="21"/>
        </w:rPr>
        <w:t xml:space="preserve"> The Sales Partner must register a Lead </w:t>
      </w:r>
      <w:r>
        <w:rPr>
          <w:rFonts w:ascii="Calibri" w:hAnsi="Calibri"/>
          <w:b/>
          <w:color w:val="4C1D95"/>
          <w:sz w:val="21"/>
        </w:rPr>
        <w:t>before</w:t>
      </w:r>
      <w:r>
        <w:rPr>
          <w:rFonts w:ascii="Calibri" w:hAnsi="Calibri"/>
          <w:sz w:val="21"/>
        </w:rPr>
        <w:t xml:space="preserve"> contacting it. Devzard will respond to a registration (accepting or objecting) within </w:t>
      </w:r>
      <w:r>
        <w:rPr>
          <w:rFonts w:ascii="Calibri" w:hAnsi="Calibri"/>
          <w:b/>
          <w:color w:val="4C1D95"/>
          <w:sz w:val="21"/>
        </w:rPr>
        <w:t>2 business days</w:t>
      </w:r>
      <w:r>
        <w:rPr>
          <w:rFonts w:ascii="Calibri" w:hAnsi="Calibri"/>
          <w:sz w:val="21"/>
        </w:rPr>
        <w:t>. If Devzard does not respond within that period, the Lead is deemed accepted.</w:t>
      </w:r>
    </w:p>
    <w:p>
      <w:r>
        <w:rPr>
          <w:rFonts w:ascii="Calibri" w:hAnsi="Calibri"/>
          <w:b/>
          <w:color w:val="4C1D95"/>
          <w:sz w:val="21"/>
        </w:rPr>
        <w:t>4.3</w:t>
      </w:r>
      <w:r>
        <w:rPr>
          <w:rFonts w:ascii="Calibri" w:hAnsi="Calibri"/>
          <w:sz w:val="21"/>
        </w:rPr>
        <w:t xml:space="preserve"> A Registered Lead is protected for </w:t>
      </w:r>
      <w:r>
        <w:rPr>
          <w:rFonts w:ascii="Calibri" w:hAnsi="Calibri"/>
          <w:b/>
          <w:color w:val="4C1D95"/>
          <w:sz w:val="21"/>
        </w:rPr>
        <w:t>30 days</w:t>
      </w:r>
      <w:r>
        <w:rPr>
          <w:rFonts w:ascii="Calibri" w:hAnsi="Calibri"/>
          <w:sz w:val="21"/>
        </w:rPr>
        <w:t xml:space="preserve"> from the date of registration. The protection period is renewed and extended automatically while there is documented activity — a held discovery call, a proposal issued, or an active negotiation.</w:t>
      </w:r>
    </w:p>
    <w:p>
      <w:r>
        <w:rPr>
          <w:rFonts w:ascii="Calibri" w:hAnsi="Calibri"/>
          <w:b/>
          <w:color w:val="4C1D95"/>
          <w:sz w:val="21"/>
        </w:rPr>
        <w:t>4.4</w:t>
      </w:r>
      <w:r>
        <w:rPr>
          <w:rFonts w:ascii="Calibri" w:hAnsi="Calibri"/>
          <w:sz w:val="21"/>
        </w:rPr>
        <w:t xml:space="preserve"> Devzard may decline to accept a Lead only where the Lead is an Excluded Entity, where the Lead has asked Devzard not to be contacted, or where the Lead is already registered by another sales partner. A decline must state the reason.</w:t>
      </w:r>
    </w:p>
    <w:p>
      <w:r>
        <w:rPr>
          <w:rFonts w:ascii="Calibri" w:hAnsi="Calibri"/>
          <w:b/>
          <w:color w:val="4C1D95"/>
          <w:sz w:val="21"/>
        </w:rPr>
        <w:t>4.5</w:t>
      </w:r>
      <w:r>
        <w:rPr>
          <w:rFonts w:ascii="Calibri" w:hAnsi="Calibri"/>
          <w:sz w:val="21"/>
        </w:rPr>
        <w:t xml:space="preserve"> If two or more partners register the same Lead, the earliest valid registration has priority. Where both have genuinely contributed to the opportunity, clause 10.2 applies.</w:t>
      </w:r>
    </w:p>
    <w:p>
      <w:r>
        <w:rPr>
          <w:rFonts w:ascii="Calibri" w:hAnsi="Calibri"/>
          <w:b/>
          <w:color w:val="4C1D95"/>
          <w:sz w:val="21"/>
        </w:rPr>
        <w:t>4.6</w:t>
      </w:r>
      <w:r>
        <w:rPr>
          <w:rFonts w:ascii="Calibri" w:hAnsi="Calibri"/>
          <w:sz w:val="21"/>
        </w:rPr>
        <w:t xml:space="preserve"> Commission is payable on a Project only where the Lead was a Registered Lead and the Client contract was signed within </w:t>
      </w:r>
      <w:r>
        <w:rPr>
          <w:rFonts w:ascii="Calibri" w:hAnsi="Calibri"/>
          <w:b/>
          <w:color w:val="4C1D95"/>
          <w:sz w:val="21"/>
        </w:rPr>
        <w:t>12 months</w:t>
      </w:r>
      <w:r>
        <w:rPr>
          <w:rFonts w:ascii="Calibri" w:hAnsi="Calibri"/>
          <w:sz w:val="21"/>
        </w:rPr>
        <w:t xml:space="preserve"> of registration (or within any extended protection period agreed in writing).</w:t>
      </w:r>
    </w:p>
    <w:p>
      <w:pPr>
        <w:spacing w:before="40" w:after="120"/>
        <w:pBdr>
          <w:bottom w:val="single" w:sz="8" w:space="4" w:color="E5E1F5"/>
        </w:pBdr>
      </w:pPr>
    </w:p>
    <w:p>
      <w:pPr>
        <w:spacing w:before="320" w:after="80"/>
      </w:pPr>
      <w:r>
        <w:rPr>
          <w:b/>
          <w:color w:val="6D28D9"/>
          <w:sz w:val="30"/>
        </w:rPr>
        <w:t>5. Devzard obligations</w:t>
      </w:r>
    </w:p>
    <w:p>
      <w:r>
        <w:rPr>
          <w:rFonts w:ascii="Calibri" w:hAnsi="Calibri"/>
          <w:b/>
          <w:color w:val="4C1D95"/>
          <w:sz w:val="21"/>
        </w:rPr>
        <w:t>5.1</w:t>
      </w:r>
      <w:r>
        <w:rPr>
          <w:rFonts w:ascii="Calibri" w:hAnsi="Calibri"/>
          <w:sz w:val="21"/>
        </w:rPr>
        <w:t xml:space="preserve"> Devzard will:</w:t>
      </w:r>
    </w:p>
    <w:p>
      <w:pPr>
        <w:spacing w:after="60"/>
        <w:ind w:left="317" w:hanging="317"/>
      </w:pPr>
      <w:r>
        <w:rPr>
          <w:b/>
          <w:color w:val="6D28D9"/>
          <w:sz w:val="21"/>
        </w:rPr>
        <w:t xml:space="preserve">•  </w:t>
      </w:r>
      <w:r>
        <w:rPr>
          <w:rFonts w:ascii="Calibri" w:hAnsi="Calibri"/>
          <w:sz w:val="21"/>
        </w:rPr>
        <w:t>(a) supply the Sales Partner with a current service catalogue, pricing guidance, pitch materials, portfolio links and brand assets;</w:t>
      </w:r>
    </w:p>
    <w:p>
      <w:pPr>
        <w:spacing w:after="60"/>
        <w:ind w:left="317" w:hanging="317"/>
      </w:pPr>
      <w:r>
        <w:rPr>
          <w:b/>
          <w:color w:val="6D28D9"/>
          <w:sz w:val="21"/>
        </w:rPr>
        <w:t xml:space="preserve">•  </w:t>
      </w:r>
      <w:r>
        <w:rPr>
          <w:rFonts w:ascii="Calibri" w:hAnsi="Calibri"/>
          <w:sz w:val="21"/>
        </w:rPr>
        <w:t>(b) provide a named point of contact and respond to the Sales Partner's questions about a Lead within one business day;</w:t>
      </w:r>
    </w:p>
    <w:p>
      <w:pPr>
        <w:spacing w:after="60"/>
        <w:ind w:left="317" w:hanging="317"/>
      </w:pPr>
      <w:r>
        <w:rPr>
          <w:b/>
          <w:color w:val="6D28D9"/>
          <w:sz w:val="21"/>
        </w:rPr>
        <w:t xml:space="preserve">•  </w:t>
      </w:r>
      <w:r>
        <w:rPr>
          <w:rFonts w:ascii="Calibri" w:hAnsi="Calibri"/>
          <w:sz w:val="21"/>
        </w:rPr>
        <w:t>(c) join discovery calls, qualify requirements, and prepare and issue proposals and quotations;</w:t>
      </w:r>
    </w:p>
    <w:p>
      <w:pPr>
        <w:spacing w:after="60"/>
        <w:ind w:left="317" w:hanging="317"/>
      </w:pPr>
      <w:r>
        <w:rPr>
          <w:b/>
          <w:color w:val="6D28D9"/>
          <w:sz w:val="21"/>
        </w:rPr>
        <w:t xml:space="preserve">•  </w:t>
      </w:r>
      <w:r>
        <w:rPr>
          <w:rFonts w:ascii="Calibri" w:hAnsi="Calibri"/>
          <w:sz w:val="21"/>
        </w:rPr>
        <w:t>(d) keep the Lead Register and the opportunity status up to date and visible to the Sales Partner;</w:t>
      </w:r>
    </w:p>
    <w:p>
      <w:pPr>
        <w:spacing w:after="60"/>
        <w:ind w:left="317" w:hanging="317"/>
      </w:pPr>
      <w:r>
        <w:rPr>
          <w:b/>
          <w:color w:val="6D28D9"/>
          <w:sz w:val="21"/>
        </w:rPr>
        <w:t xml:space="preserve">•  </w:t>
      </w:r>
      <w:r>
        <w:rPr>
          <w:rFonts w:ascii="Calibri" w:hAnsi="Calibri"/>
          <w:sz w:val="21"/>
        </w:rPr>
        <w:t>(e) record, document and disclose Direct Expenses as required by clause 7, and obtain approval for those above the threshold in clause 7.5;</w:t>
      </w:r>
    </w:p>
    <w:p>
      <w:pPr>
        <w:spacing w:after="60"/>
        <w:ind w:left="317" w:hanging="317"/>
      </w:pPr>
      <w:r>
        <w:rPr>
          <w:b/>
          <w:color w:val="6D28D9"/>
          <w:sz w:val="21"/>
        </w:rPr>
        <w:t xml:space="preserve">•  </w:t>
      </w:r>
      <w:r>
        <w:rPr>
          <w:rFonts w:ascii="Calibri" w:hAnsi="Calibri"/>
          <w:sz w:val="21"/>
        </w:rPr>
        <w:t>(f) calculate Commission transparently and issue a written statement with every payment;</w:t>
      </w:r>
    </w:p>
    <w:p>
      <w:pPr>
        <w:spacing w:after="60"/>
        <w:ind w:left="317" w:hanging="317"/>
      </w:pPr>
      <w:r>
        <w:rPr>
          <w:b/>
          <w:color w:val="6D28D9"/>
          <w:sz w:val="21"/>
        </w:rPr>
        <w:t xml:space="preserve">•  </w:t>
      </w:r>
      <w:r>
        <w:rPr>
          <w:rFonts w:ascii="Calibri" w:hAnsi="Calibri"/>
          <w:sz w:val="21"/>
        </w:rPr>
        <w:t>(g) use reasonable commercial efforts to deliver the Services professionally, so that commissions are actually earned;</w:t>
      </w:r>
    </w:p>
    <w:p>
      <w:pPr>
        <w:spacing w:after="60"/>
        <w:ind w:left="317" w:hanging="317"/>
      </w:pPr>
      <w:r>
        <w:rPr>
          <w:b/>
          <w:color w:val="6D28D9"/>
          <w:sz w:val="21"/>
        </w:rPr>
        <w:t xml:space="preserve">•  </w:t>
      </w:r>
      <w:r>
        <w:rPr>
          <w:rFonts w:ascii="Calibri" w:hAnsi="Calibri"/>
          <w:sz w:val="21"/>
        </w:rPr>
        <w:t>(h) not deliberately divert a Registered Lead's opportunity into a structure intended to avoid Commission, including by splitting the contract into separate documents.</w:t>
      </w:r>
    </w:p>
    <w:p>
      <w:pPr>
        <w:spacing w:after="40"/>
      </w:pPr>
    </w:p>
    <w:p>
      <w:pPr>
        <w:spacing w:before="40" w:after="120"/>
        <w:pBdr>
          <w:bottom w:val="single" w:sz="8" w:space="4" w:color="E5E1F5"/>
        </w:pBdr>
      </w:pPr>
    </w:p>
    <w:p>
      <w:pPr>
        <w:spacing w:before="320" w:after="80"/>
      </w:pPr>
      <w:r>
        <w:rPr>
          <w:b/>
          <w:color w:val="6D28D9"/>
          <w:sz w:val="30"/>
        </w:rPr>
        <w:t>6. Commission</w:t>
      </w:r>
    </w:p>
    <w:p>
      <w:r>
        <w:rPr>
          <w:rFonts w:ascii="Calibri" w:hAnsi="Calibri"/>
          <w:b/>
          <w:color w:val="4C1D95"/>
          <w:sz w:val="21"/>
        </w:rPr>
        <w:t>6.1</w:t>
      </w:r>
      <w:r>
        <w:rPr>
          <w:rFonts w:ascii="Calibri" w:hAnsi="Calibri"/>
          <w:sz w:val="21"/>
        </w:rPr>
        <w:t xml:space="preserve"> For every successful Project, the Net Profit will be divided:</w:t>
      </w:r>
    </w:p>
    <w:tbl>
      <w:tblPr>
        <w:tblStyle w:val="TableGrid"/>
        <w:tblW w:type="auto" w:w="0"/>
        <w:jc w:val="center"/>
        <w:tblLook w:firstColumn="1" w:firstRow="1" w:lastColumn="0" w:lastRow="0" w:noHBand="0" w:noVBand="1" w:val="04A0"/>
      </w:tblPr>
      <w:tblGrid>
        <w:gridCol w:w="4896"/>
        <w:gridCol w:w="4896"/>
      </w:tblGrid>
      <w:tr>
        <w:tc>
          <w:tcPr>
            <w:tcW w:type="dxa" w:w="4896"/>
            <w:shd w:val="clear" w:color="auto" w:fill="4C1D95"/>
            <w:tcMar>
              <w:top w:w="60" w:type="dxa"/>
              <w:start w:w="100" w:type="dxa"/>
              <w:bottom w:w="60" w:type="dxa"/>
              <w:end w:w="100" w:type="dxa"/>
            </w:tcMar>
          </w:tcPr>
          <w:p>
            <w:pPr>
              <w:spacing w:after="0"/>
            </w:pPr>
            <w:r/>
            <w:r>
              <w:rPr>
                <w:b/>
                <w:color w:val="FFFFFF"/>
                <w:sz w:val="19"/>
              </w:rPr>
              <w:t>Party</w:t>
            </w:r>
          </w:p>
        </w:tc>
        <w:tc>
          <w:tcPr>
            <w:tcW w:type="dxa" w:w="4896"/>
            <w:shd w:val="clear" w:color="auto" w:fill="4C1D95"/>
            <w:tcMar>
              <w:top w:w="60" w:type="dxa"/>
              <w:start w:w="100" w:type="dxa"/>
              <w:bottom w:w="60" w:type="dxa"/>
              <w:end w:w="100" w:type="dxa"/>
            </w:tcMar>
          </w:tcPr>
          <w:p>
            <w:pPr>
              <w:spacing w:after="0"/>
              <w:jc w:val="right"/>
            </w:pPr>
            <w:r/>
            <w:r>
              <w:rPr>
                <w:b/>
                <w:color w:val="FFFFFF"/>
                <w:sz w:val="19"/>
              </w:rPr>
              <w:t>Share of Net Profit</w:t>
            </w:r>
          </w:p>
        </w:tc>
      </w:tr>
      <w:tr>
        <w:tc>
          <w:tcPr>
            <w:tcW w:type="dxa" w:w="4896"/>
            <w:tcMar>
              <w:top w:w="60" w:type="dxa"/>
              <w:start w:w="100" w:type="dxa"/>
              <w:bottom w:w="60" w:type="dxa"/>
              <w:end w:w="100" w:type="dxa"/>
            </w:tcMar>
          </w:tcPr>
          <w:p>
            <w:pPr>
              <w:spacing w:after="0"/>
            </w:pPr>
            <w:r/>
            <w:r>
              <w:rPr>
                <w:rFonts w:ascii="Calibri" w:hAnsi="Calibri"/>
                <w:sz w:val="19"/>
              </w:rPr>
              <w:t>Devzard</w:t>
            </w:r>
          </w:p>
        </w:tc>
        <w:tc>
          <w:tcPr>
            <w:tcW w:type="dxa" w:w="4896"/>
            <w:tcMar>
              <w:top w:w="60" w:type="dxa"/>
              <w:start w:w="100" w:type="dxa"/>
              <w:bottom w:w="60" w:type="dxa"/>
              <w:end w:w="100" w:type="dxa"/>
            </w:tcMar>
          </w:tcPr>
          <w:p>
            <w:pPr>
              <w:spacing w:after="0"/>
              <w:jc w:val="right"/>
            </w:pPr>
            <w:r/>
            <w:r>
              <w:rPr>
                <w:rFonts w:ascii="Calibri" w:hAnsi="Calibri"/>
                <w:sz w:val="19"/>
              </w:rPr>
              <w:t>70%</w:t>
            </w:r>
          </w:p>
        </w:tc>
      </w:tr>
      <w:tr>
        <w:tc>
          <w:tcPr>
            <w:tcW w:type="dxa" w:w="4896"/>
            <w:shd w:val="clear" w:color="auto" w:fill="F5F3FF"/>
            <w:tcMar>
              <w:top w:w="60" w:type="dxa"/>
              <w:start w:w="100" w:type="dxa"/>
              <w:bottom w:w="60" w:type="dxa"/>
              <w:end w:w="100" w:type="dxa"/>
            </w:tcMar>
          </w:tcPr>
          <w:p>
            <w:pPr>
              <w:spacing w:after="0"/>
            </w:pPr>
            <w:r/>
            <w:r>
              <w:rPr>
                <w:rFonts w:ascii="Calibri" w:hAnsi="Calibri"/>
                <w:sz w:val="19"/>
              </w:rPr>
              <w:t>Sales Partner</w:t>
            </w:r>
          </w:p>
        </w:tc>
        <w:tc>
          <w:tcPr>
            <w:tcW w:type="dxa" w:w="4896"/>
            <w:shd w:val="clear" w:color="auto" w:fill="F5F3FF"/>
            <w:tcMar>
              <w:top w:w="60" w:type="dxa"/>
              <w:start w:w="100" w:type="dxa"/>
              <w:bottom w:w="60" w:type="dxa"/>
              <w:end w:w="100" w:type="dxa"/>
            </w:tcMar>
          </w:tcPr>
          <w:p>
            <w:pPr>
              <w:spacing w:after="0"/>
              <w:jc w:val="right"/>
            </w:pPr>
            <w:r/>
            <w:r>
              <w:rPr>
                <w:rFonts w:ascii="Calibri" w:hAnsi="Calibri"/>
                <w:b/>
                <w:color w:val="4C1D95"/>
                <w:sz w:val="19"/>
              </w:rPr>
              <w:t>30%</w:t>
            </w:r>
          </w:p>
        </w:tc>
      </w:tr>
    </w:tbl>
    <w:p>
      <w:pPr>
        <w:spacing w:after="40"/>
      </w:pPr>
    </w:p>
    <w:p>
      <w:r>
        <w:rPr>
          <w:rFonts w:ascii="Calibri" w:hAnsi="Calibri"/>
          <w:b/>
          <w:color w:val="4C1D95"/>
          <w:sz w:val="21"/>
        </w:rPr>
        <w:t>6.2</w:t>
      </w:r>
      <w:r>
        <w:rPr>
          <w:rFonts w:ascii="Calibri" w:hAnsi="Calibri"/>
          <w:sz w:val="21"/>
        </w:rPr>
        <w:t xml:space="preserve"> </w:t>
      </w:r>
      <w:r>
        <w:rPr>
          <w:rFonts w:ascii="Calibri" w:hAnsi="Calibri"/>
          <w:b/>
          <w:color w:val="4C1D95"/>
          <w:sz w:val="21"/>
        </w:rPr>
        <w:t>Worked example.</w:t>
      </w:r>
      <w:r>
        <w:rPr>
          <w:rFonts w:ascii="Calibri" w:hAnsi="Calibri"/>
          <w:sz w:val="21"/>
        </w:rPr>
        <w:t xml:space="preserve"> A Project generating PKR 15,000 of Net Profit pays Devzard PKR 10,500 and the Sales Partner PKR 4,500. This is illustrative only. Actual profits vary with the Project's price, scope and Direct Expenses, and the Sales Partner's earnings depend entirely on the Projects they successfully introduce.</w:t>
      </w:r>
    </w:p>
    <w:p>
      <w:r>
        <w:rPr>
          <w:rFonts w:ascii="Calibri" w:hAnsi="Calibri"/>
          <w:b/>
          <w:color w:val="4C1D95"/>
          <w:sz w:val="21"/>
        </w:rPr>
        <w:t>6.3</w:t>
      </w:r>
      <w:r>
        <w:rPr>
          <w:rFonts w:ascii="Calibri" w:hAnsi="Calibri"/>
          <w:sz w:val="21"/>
        </w:rPr>
        <w:t xml:space="preserve"> No Commission is earned, and none is payable, until: (a) the Client has paid Devzard the relevant amount, and it has cleared; and (b) the related milestone has been delivered.</w:t>
      </w:r>
    </w:p>
    <w:p>
      <w:r>
        <w:rPr>
          <w:rFonts w:ascii="Calibri" w:hAnsi="Calibri"/>
          <w:b/>
          <w:color w:val="4C1D95"/>
          <w:sz w:val="21"/>
        </w:rPr>
        <w:t>6.4</w:t>
      </w:r>
      <w:r>
        <w:rPr>
          <w:rFonts w:ascii="Calibri" w:hAnsi="Calibri"/>
          <w:sz w:val="21"/>
        </w:rPr>
        <w:t xml:space="preserve"> Commission is the Sales Partner's entire remuneration under this Agreement. No salary, retainer, fee, expense reimbursement or benefit of any kind is payable.</w:t>
      </w:r>
    </w:p>
    <w:p>
      <w:pPr>
        <w:spacing w:before="40" w:after="120"/>
        <w:pBdr>
          <w:bottom w:val="single" w:sz="8" w:space="4" w:color="E5E1F5"/>
        </w:pBdr>
      </w:pPr>
    </w:p>
    <w:p>
      <w:pPr>
        <w:spacing w:before="320" w:after="80"/>
      </w:pPr>
      <w:r>
        <w:rPr>
          <w:b/>
          <w:color w:val="6D28D9"/>
          <w:sz w:val="30"/>
        </w:rPr>
        <w:t>7. Calculation of Net Profit</w:t>
      </w:r>
    </w:p>
    <w:p>
      <w:r>
        <w:rPr>
          <w:rFonts w:ascii="Calibri" w:hAnsi="Calibri"/>
          <w:b/>
          <w:color w:val="4C1D95"/>
          <w:sz w:val="21"/>
        </w:rPr>
        <w:t>7.1</w:t>
      </w:r>
      <w:r>
        <w:rPr>
          <w:rFonts w:ascii="Calibri" w:hAnsi="Calibri"/>
          <w:sz w:val="21"/>
        </w:rPr>
        <w:t xml:space="preserve"> </w:t>
      </w:r>
      <w:r>
        <w:rPr>
          <w:rFonts w:ascii="Calibri" w:hAnsi="Calibri"/>
          <w:b/>
          <w:color w:val="4C1D95"/>
          <w:sz w:val="21"/>
        </w:rPr>
        <w:t>Formula.</w:t>
      </w:r>
    </w:p>
    <w:tbl>
      <w:tblPr>
        <w:tblW w:type="auto" w:w="0"/>
        <w:tblLook w:firstColumn="1" w:firstRow="1" w:lastColumn="0" w:lastRow="0" w:noHBand="0" w:noVBand="1" w:val="04A0"/>
      </w:tblPr>
      <w:tblGrid>
        <w:gridCol w:w="9792"/>
      </w:tblGrid>
      <w:tr>
        <w:tc>
          <w:tcPr>
            <w:tcW w:type="dxa" w:w="9792"/>
            <w:shd w:val="clear" w:color="auto" w:fill="0F172A"/>
            <w:tcMar>
              <w:top w:w="120" w:type="dxa"/>
              <w:start w:w="160" w:type="dxa"/>
              <w:bottom w:w="120" w:type="dxa"/>
              <w:end w:w="160" w:type="dxa"/>
            </w:tcMar>
          </w:tcPr>
          <w:p>
            <w:pPr>
              <w:spacing w:after="0"/>
            </w:pPr>
            <w:r/>
            <w:r>
              <w:rPr>
                <w:rFonts w:ascii="Consolas" w:hAnsi="Consolas"/>
                <w:color w:val="A5F3FC"/>
                <w:sz w:val="19"/>
              </w:rPr>
              <w:t>Net Profit = Client Revenue received − Direct Expenses</w:t>
            </w:r>
          </w:p>
          <w:p>
            <w:pPr>
              <w:spacing w:after="0"/>
            </w:pPr>
            <w:r>
              <w:rPr>
                <w:rFonts w:ascii="Consolas" w:hAnsi="Consolas"/>
                <w:color w:val="A5F3FC"/>
                <w:sz w:val="19"/>
              </w:rPr>
              <w:t>Commission = Net Profit × 30%</w:t>
            </w:r>
          </w:p>
        </w:tc>
      </w:tr>
    </w:tbl>
    <w:p>
      <w:pPr>
        <w:spacing w:after="40"/>
      </w:pPr>
    </w:p>
    <w:p>
      <w:r>
        <w:rPr>
          <w:rFonts w:ascii="Calibri" w:hAnsi="Calibri"/>
          <w:b/>
          <w:color w:val="4C1D95"/>
          <w:sz w:val="21"/>
        </w:rPr>
        <w:t>7.2</w:t>
      </w:r>
      <w:r>
        <w:rPr>
          <w:rFonts w:ascii="Calibri" w:hAnsi="Calibri"/>
          <w:sz w:val="21"/>
        </w:rPr>
        <w:t xml:space="preserve"> Client Revenue is stated exclusive of sales tax and any other tax charged on the Client invoice.</w:t>
      </w:r>
    </w:p>
    <w:p>
      <w:r>
        <w:rPr>
          <w:rFonts w:ascii="Calibri" w:hAnsi="Calibri"/>
          <w:b/>
          <w:color w:val="4C1D95"/>
          <w:sz w:val="21"/>
        </w:rPr>
        <w:t>7.3</w:t>
      </w:r>
      <w:r>
        <w:rPr>
          <w:rFonts w:ascii="Calibri" w:hAnsi="Calibri"/>
          <w:sz w:val="21"/>
        </w:rPr>
        <w:t xml:space="preserve"> </w:t>
      </w:r>
      <w:r>
        <w:rPr>
          <w:rFonts w:ascii="Calibri" w:hAnsi="Calibri"/>
          <w:b/>
          <w:color w:val="4C1D95"/>
          <w:sz w:val="21"/>
        </w:rPr>
        <w:t>Direct Expenses</w:t>
      </w:r>
      <w:r>
        <w:rPr>
          <w:rFonts w:ascii="Calibri" w:hAnsi="Calibri"/>
          <w:sz w:val="21"/>
        </w:rPr>
        <w:t xml:space="preserve"> are limited to the following, where they relate specifically to that Project and are supported by an invoice or receipt:</w:t>
      </w:r>
    </w:p>
    <w:p>
      <w:pPr>
        <w:spacing w:after="60"/>
        <w:ind w:left="317" w:hanging="317"/>
      </w:pPr>
      <w:r>
        <w:rPr>
          <w:b/>
          <w:color w:val="6D28D9"/>
          <w:sz w:val="21"/>
        </w:rPr>
        <w:t xml:space="preserve">•  </w:t>
      </w:r>
      <w:r>
        <w:rPr>
          <w:rFonts w:ascii="Calibri" w:hAnsi="Calibri"/>
          <w:sz w:val="21"/>
        </w:rPr>
        <w:t>(a) domain names, hosting, SSL certificates and cloud infrastructure for the Project;</w:t>
      </w:r>
    </w:p>
    <w:p>
      <w:pPr>
        <w:spacing w:after="60"/>
        <w:ind w:left="317" w:hanging="317"/>
      </w:pPr>
      <w:r>
        <w:rPr>
          <w:b/>
          <w:color w:val="6D28D9"/>
          <w:sz w:val="21"/>
        </w:rPr>
        <w:t xml:space="preserve">•  </w:t>
      </w:r>
      <w:r>
        <w:rPr>
          <w:rFonts w:ascii="Calibri" w:hAnsi="Calibri"/>
          <w:sz w:val="21"/>
        </w:rPr>
        <w:t>(b) premium themes, plugins, software licences and fonts purchased for the Project;</w:t>
      </w:r>
    </w:p>
    <w:p>
      <w:pPr>
        <w:spacing w:after="60"/>
        <w:ind w:left="317" w:hanging="317"/>
      </w:pPr>
      <w:r>
        <w:rPr>
          <w:b/>
          <w:color w:val="6D28D9"/>
          <w:sz w:val="21"/>
        </w:rPr>
        <w:t xml:space="preserve">•  </w:t>
      </w:r>
      <w:r>
        <w:rPr>
          <w:rFonts w:ascii="Calibri" w:hAnsi="Calibri"/>
          <w:sz w:val="21"/>
        </w:rPr>
        <w:t>(c) stock images, video, audio and design assets licensed for the Project;</w:t>
      </w:r>
    </w:p>
    <w:p>
      <w:pPr>
        <w:spacing w:after="60"/>
        <w:ind w:left="317" w:hanging="317"/>
      </w:pPr>
      <w:r>
        <w:rPr>
          <w:b/>
          <w:color w:val="6D28D9"/>
          <w:sz w:val="21"/>
        </w:rPr>
        <w:t xml:space="preserve">•  </w:t>
      </w:r>
      <w:r>
        <w:rPr>
          <w:rFonts w:ascii="Calibri" w:hAnsi="Calibri"/>
          <w:sz w:val="21"/>
        </w:rPr>
        <w:t>(d) paid APIs, integrations, SMS, payment gateway setup and AI/service credits consumed by the Project;</w:t>
      </w:r>
    </w:p>
    <w:p>
      <w:pPr>
        <w:spacing w:after="60"/>
        <w:ind w:left="317" w:hanging="317"/>
      </w:pPr>
      <w:r>
        <w:rPr>
          <w:b/>
          <w:color w:val="6D28D9"/>
          <w:sz w:val="21"/>
        </w:rPr>
        <w:t xml:space="preserve">•  </w:t>
      </w:r>
      <w:r>
        <w:rPr>
          <w:rFonts w:ascii="Calibri" w:hAnsi="Calibri"/>
          <w:sz w:val="21"/>
        </w:rPr>
        <w:t>(e) subcontracted or outsourced delivery — freelancers, designers, copywriters, QA, photography;</w:t>
      </w:r>
    </w:p>
    <w:p>
      <w:pPr>
        <w:spacing w:after="60"/>
        <w:ind w:left="317" w:hanging="317"/>
      </w:pPr>
      <w:r>
        <w:rPr>
          <w:b/>
          <w:color w:val="6D28D9"/>
          <w:sz w:val="21"/>
        </w:rPr>
        <w:t xml:space="preserve">•  </w:t>
      </w:r>
      <w:r>
        <w:rPr>
          <w:rFonts w:ascii="Calibri" w:hAnsi="Calibri"/>
          <w:sz w:val="21"/>
        </w:rPr>
        <w:t>(f) payment gateway, bank and transfer fees actually incurred in collecting the Client's money;</w:t>
      </w:r>
    </w:p>
    <w:p>
      <w:pPr>
        <w:spacing w:after="60"/>
        <w:ind w:left="317" w:hanging="317"/>
      </w:pPr>
      <w:r>
        <w:rPr>
          <w:b/>
          <w:color w:val="6D28D9"/>
          <w:sz w:val="21"/>
        </w:rPr>
        <w:t xml:space="preserve">•  </w:t>
      </w:r>
      <w:r>
        <w:rPr>
          <w:rFonts w:ascii="Calibri" w:hAnsi="Calibri"/>
          <w:sz w:val="21"/>
        </w:rPr>
        <w:t>(g) client-specific advertising spend that the Client has not separately reimbursed;</w:t>
      </w:r>
    </w:p>
    <w:p>
      <w:pPr>
        <w:spacing w:after="60"/>
        <w:ind w:left="317" w:hanging="317"/>
      </w:pPr>
      <w:r>
        <w:rPr>
          <w:b/>
          <w:color w:val="6D28D9"/>
          <w:sz w:val="21"/>
        </w:rPr>
        <w:t xml:space="preserve">•  </w:t>
      </w:r>
      <w:r>
        <w:rPr>
          <w:rFonts w:ascii="Calibri" w:hAnsi="Calibri"/>
          <w:sz w:val="21"/>
        </w:rPr>
        <w:t>(h) hardware, printing, courier and similar physical costs bought specifically for the Project;</w:t>
      </w:r>
    </w:p>
    <w:p>
      <w:pPr>
        <w:spacing w:after="60"/>
        <w:ind w:left="317" w:hanging="317"/>
      </w:pPr>
      <w:r>
        <w:rPr>
          <w:b/>
          <w:color w:val="6D28D9"/>
          <w:sz w:val="21"/>
        </w:rPr>
        <w:t xml:space="preserve">•  </w:t>
      </w:r>
      <w:r>
        <w:rPr>
          <w:rFonts w:ascii="Calibri" w:hAnsi="Calibri"/>
          <w:sz w:val="21"/>
        </w:rPr>
        <w:t>(i) taxes, duties or levies payable by Devzard that arise directly and solely from the Project (excluding income tax on Devzard's own profits).</w:t>
      </w:r>
    </w:p>
    <w:p>
      <w:pPr>
        <w:spacing w:after="40"/>
      </w:pPr>
    </w:p>
    <w:p>
      <w:r>
        <w:rPr>
          <w:rFonts w:ascii="Calibri" w:hAnsi="Calibri"/>
          <w:b/>
          <w:color w:val="4C1D95"/>
          <w:sz w:val="21"/>
        </w:rPr>
        <w:t>7.4</w:t>
      </w:r>
      <w:r>
        <w:rPr>
          <w:rFonts w:ascii="Calibri" w:hAnsi="Calibri"/>
          <w:sz w:val="21"/>
        </w:rPr>
        <w:t xml:space="preserve"> </w:t>
      </w:r>
      <w:r>
        <w:rPr>
          <w:rFonts w:ascii="Calibri" w:hAnsi="Calibri"/>
          <w:b/>
          <w:color w:val="4C1D95"/>
          <w:sz w:val="21"/>
        </w:rPr>
        <w:t>Never deducted as Direct Expenses:</w:t>
      </w:r>
      <w:r>
        <w:rPr>
          <w:rFonts w:ascii="Calibri" w:hAnsi="Calibri"/>
          <w:sz w:val="21"/>
        </w:rPr>
        <w:t xml:space="preserve"> Devzard's salaries, contractor pay for its own core team, office and premises costs, utilities, internet, internal software subscriptions, general marketing and advertising, business development costs, accounting and legal fees, rework or remediation arising from Devzard's own errors or omissions, and any penalty, credit or service-level payment made to a Client because Devzard delivered late. Where such a penalty has been applied to Client Revenue, it is </w:t>
      </w:r>
      <w:r>
        <w:rPr>
          <w:rFonts w:ascii="Calibri" w:hAnsi="Calibri"/>
          <w:b/>
          <w:color w:val="4C1D95"/>
          <w:sz w:val="21"/>
        </w:rPr>
        <w:t>added back</w:t>
      </w:r>
      <w:r>
        <w:rPr>
          <w:rFonts w:ascii="Calibri" w:hAnsi="Calibri"/>
          <w:sz w:val="21"/>
        </w:rPr>
        <w:t xml:space="preserve"> before calculating Net Profit.</w:t>
      </w:r>
    </w:p>
    <w:p>
      <w:r>
        <w:rPr>
          <w:rFonts w:ascii="Calibri" w:hAnsi="Calibri"/>
          <w:b/>
          <w:color w:val="4C1D95"/>
          <w:sz w:val="21"/>
        </w:rPr>
        <w:t>7.5</w:t>
      </w:r>
      <w:r>
        <w:rPr>
          <w:rFonts w:ascii="Calibri" w:hAnsi="Calibri"/>
          <w:sz w:val="21"/>
        </w:rPr>
        <w:t xml:space="preserve"> </w:t>
      </w:r>
      <w:r>
        <w:rPr>
          <w:rFonts w:ascii="Calibri" w:hAnsi="Calibri"/>
          <w:b/>
          <w:color w:val="4C1D95"/>
          <w:sz w:val="21"/>
        </w:rPr>
        <w:t>Approval threshold.</w:t>
      </w:r>
      <w:r>
        <w:rPr>
          <w:rFonts w:ascii="Calibri" w:hAnsi="Calibri"/>
          <w:sz w:val="21"/>
        </w:rPr>
        <w:t xml:space="preserve"> Any single Direct Expense above </w:t>
      </w:r>
      <w:r>
        <w:rPr>
          <w:rFonts w:ascii="Calibri" w:hAnsi="Calibri"/>
          <w:b/>
          <w:color w:val="4C1D95"/>
          <w:sz w:val="21"/>
        </w:rPr>
        <w:t>PKR 25,000</w:t>
      </w:r>
      <w:r>
        <w:rPr>
          <w:rFonts w:ascii="Calibri" w:hAnsi="Calibri"/>
          <w:sz w:val="21"/>
        </w:rPr>
        <w:t>, and any expense or variation that would change the price payable by the Client, requires the Sales Partner's prior written approval, which may be given by WhatsApp or email. Where approval is not obtained, that expense is not deducted in calculating Net Profit.</w:t>
      </w:r>
    </w:p>
    <w:p>
      <w:r>
        <w:rPr>
          <w:rFonts w:ascii="Calibri" w:hAnsi="Calibri"/>
          <w:b/>
          <w:color w:val="4C1D95"/>
          <w:sz w:val="21"/>
        </w:rPr>
        <w:t>7.6</w:t>
      </w:r>
      <w:r>
        <w:rPr>
          <w:rFonts w:ascii="Calibri" w:hAnsi="Calibri"/>
          <w:sz w:val="21"/>
        </w:rPr>
        <w:t xml:space="preserve"> </w:t>
      </w:r>
      <w:r>
        <w:rPr>
          <w:rFonts w:ascii="Calibri" w:hAnsi="Calibri"/>
          <w:b/>
          <w:color w:val="4C1D95"/>
          <w:sz w:val="21"/>
        </w:rPr>
        <w:t>Shared costs</w:t>
      </w:r>
      <w:r>
        <w:rPr>
          <w:rFonts w:ascii="Calibri" w:hAnsi="Calibri"/>
          <w:sz w:val="21"/>
        </w:rPr>
        <w:t xml:space="preserve"> used for two or more clients are apportioned between them on a reasonable and consistent basis, and the apportionment is disclosed on the Commission statement.</w:t>
      </w:r>
    </w:p>
    <w:p>
      <w:r>
        <w:rPr>
          <w:rFonts w:ascii="Calibri" w:hAnsi="Calibri"/>
          <w:b/>
          <w:color w:val="4C1D95"/>
          <w:sz w:val="21"/>
        </w:rPr>
        <w:t>7.7</w:t>
      </w:r>
      <w:r>
        <w:rPr>
          <w:rFonts w:ascii="Calibri" w:hAnsi="Calibri"/>
          <w:sz w:val="21"/>
        </w:rPr>
        <w:t xml:space="preserve"> </w:t>
      </w:r>
      <w:r>
        <w:rPr>
          <w:rFonts w:ascii="Calibri" w:hAnsi="Calibri"/>
          <w:b/>
          <w:color w:val="4C1D95"/>
          <w:sz w:val="21"/>
        </w:rPr>
        <w:t>Discounts.</w:t>
      </w:r>
      <w:r>
        <w:rPr>
          <w:rFonts w:ascii="Calibri" w:hAnsi="Calibri"/>
          <w:sz w:val="21"/>
        </w:rPr>
        <w:t xml:space="preserve"> Any discount, price reduction or free addition to a Project requires Devzard's prior written approval, and reduces Client Revenue accordingly. Unapproved discounts are treated as a reduction of Client Revenue, and therefore reduce Net Profit and Commission.</w:t>
      </w:r>
    </w:p>
    <w:p>
      <w:r>
        <w:rPr>
          <w:rFonts w:ascii="Calibri" w:hAnsi="Calibri"/>
          <w:b/>
          <w:color w:val="4C1D95"/>
          <w:sz w:val="21"/>
        </w:rPr>
        <w:t>7.8</w:t>
      </w:r>
      <w:r>
        <w:rPr>
          <w:rFonts w:ascii="Calibri" w:hAnsi="Calibri"/>
          <w:sz w:val="21"/>
        </w:rPr>
        <w:t xml:space="preserve"> </w:t>
      </w:r>
      <w:r>
        <w:rPr>
          <w:rFonts w:ascii="Calibri" w:hAnsi="Calibri"/>
          <w:b/>
          <w:color w:val="4C1D95"/>
          <w:sz w:val="21"/>
        </w:rPr>
        <w:t>Change requests.</w:t>
      </w:r>
      <w:r>
        <w:rPr>
          <w:rFonts w:ascii="Calibri" w:hAnsi="Calibri"/>
          <w:sz w:val="21"/>
        </w:rPr>
        <w:t xml:space="preserve"> Additional work agreed with the Client after the contract is signed is quoted and invoiced separately and is treated as added Client Revenue, generating additional Commission on the same 70/30 basis.</w:t>
      </w:r>
    </w:p>
    <w:p>
      <w:r>
        <w:rPr>
          <w:rFonts w:ascii="Calibri" w:hAnsi="Calibri"/>
          <w:b/>
          <w:color w:val="4C1D95"/>
          <w:sz w:val="21"/>
        </w:rPr>
        <w:t>7.9</w:t>
      </w:r>
      <w:r>
        <w:rPr>
          <w:rFonts w:ascii="Calibri" w:hAnsi="Calibri"/>
          <w:sz w:val="21"/>
        </w:rPr>
        <w:t xml:space="preserve"> </w:t>
      </w:r>
      <w:r>
        <w:rPr>
          <w:rFonts w:ascii="Calibri" w:hAnsi="Calibri"/>
          <w:b/>
          <w:color w:val="4C1D95"/>
          <w:sz w:val="21"/>
        </w:rPr>
        <w:t>Verification.</w:t>
      </w:r>
      <w:r>
        <w:rPr>
          <w:rFonts w:ascii="Calibri" w:hAnsi="Calibri"/>
          <w:sz w:val="21"/>
        </w:rPr>
        <w:t xml:space="preserve"> At the Sales Partner's request, Devzard will provide the underlying calculation and, on reasonable request, copies of the invoices or receipts supporting any deducted Direct Expense.</w:t>
      </w:r>
    </w:p>
    <w:p>
      <w:pPr>
        <w:spacing w:before="40" w:after="120"/>
        <w:pBdr>
          <w:bottom w:val="single" w:sz="8" w:space="4" w:color="E5E1F5"/>
        </w:pBdr>
      </w:pPr>
    </w:p>
    <w:p>
      <w:pPr>
        <w:spacing w:before="320" w:after="80"/>
      </w:pPr>
      <w:r>
        <w:rPr>
          <w:b/>
          <w:color w:val="6D28D9"/>
          <w:sz w:val="30"/>
        </w:rPr>
        <w:t>8. Payment of Commission</w:t>
      </w:r>
    </w:p>
    <w:p>
      <w:r>
        <w:rPr>
          <w:rFonts w:ascii="Calibri" w:hAnsi="Calibri"/>
          <w:b/>
          <w:color w:val="4C1D95"/>
          <w:sz w:val="21"/>
        </w:rPr>
        <w:t>8.1</w:t>
      </w:r>
      <w:r>
        <w:rPr>
          <w:rFonts w:ascii="Calibri" w:hAnsi="Calibri"/>
          <w:sz w:val="21"/>
        </w:rPr>
        <w:t xml:space="preserve"> Commission is payable within </w:t>
      </w:r>
      <w:r>
        <w:rPr>
          <w:rFonts w:ascii="Calibri" w:hAnsi="Calibri"/>
          <w:b/>
          <w:color w:val="4C1D95"/>
          <w:sz w:val="21"/>
        </w:rPr>
        <w:t>7 business days</w:t>
      </w:r>
      <w:r>
        <w:rPr>
          <w:rFonts w:ascii="Calibri" w:hAnsi="Calibri"/>
          <w:sz w:val="21"/>
        </w:rPr>
        <w:t xml:space="preserve"> after both conditions in clause 6.3 are satisfied, by bank transfer to the account named in this Agreement.</w:t>
      </w:r>
    </w:p>
    <w:p>
      <w:r>
        <w:rPr>
          <w:rFonts w:ascii="Calibri" w:hAnsi="Calibri"/>
          <w:b/>
          <w:color w:val="4C1D95"/>
          <w:sz w:val="21"/>
        </w:rPr>
        <w:t>8.2</w:t>
      </w:r>
      <w:r>
        <w:rPr>
          <w:rFonts w:ascii="Calibri" w:hAnsi="Calibri"/>
          <w:sz w:val="21"/>
        </w:rPr>
        <w:t xml:space="preserve"> On multi-milestone or installment Projects, Commission is calculated and paid </w:t>
      </w:r>
      <w:r>
        <w:rPr>
          <w:rFonts w:ascii="Calibri" w:hAnsi="Calibri"/>
          <w:b/>
          <w:color w:val="4C1D95"/>
          <w:sz w:val="21"/>
        </w:rPr>
        <w:t>per installment received</w:t>
      </w:r>
      <w:r>
        <w:rPr>
          <w:rFonts w:ascii="Calibri" w:hAnsi="Calibri"/>
          <w:sz w:val="21"/>
        </w:rPr>
        <w:t>, against the Direct Expenses incurred up to that point, so that by final completion the totals equal 30% of total Net Profit.</w:t>
      </w:r>
    </w:p>
    <w:p>
      <w:r>
        <w:rPr>
          <w:rFonts w:ascii="Calibri" w:hAnsi="Calibri"/>
          <w:b/>
          <w:color w:val="4C1D95"/>
          <w:sz w:val="21"/>
        </w:rPr>
        <w:t>8.3</w:t>
      </w:r>
      <w:r>
        <w:rPr>
          <w:rFonts w:ascii="Calibri" w:hAnsi="Calibri"/>
          <w:sz w:val="21"/>
        </w:rPr>
        <w:t xml:space="preserve"> </w:t>
      </w:r>
      <w:r>
        <w:rPr>
          <w:rFonts w:ascii="Calibri" w:hAnsi="Calibri"/>
          <w:b/>
          <w:color w:val="4C1D95"/>
          <w:sz w:val="21"/>
        </w:rPr>
        <w:t>Minimum payout.</w:t>
      </w:r>
      <w:r>
        <w:rPr>
          <w:rFonts w:ascii="Calibri" w:hAnsi="Calibri"/>
          <w:sz w:val="21"/>
        </w:rPr>
        <w:t xml:space="preserve"> Balances below </w:t>
      </w:r>
      <w:r>
        <w:rPr>
          <w:rFonts w:ascii="Calibri" w:hAnsi="Calibri"/>
          <w:b/>
          <w:color w:val="4C1D95"/>
          <w:sz w:val="21"/>
        </w:rPr>
        <w:t>PKR 5,000</w:t>
      </w:r>
      <w:r>
        <w:rPr>
          <w:rFonts w:ascii="Calibri" w:hAnsi="Calibri"/>
          <w:sz w:val="21"/>
        </w:rPr>
        <w:t xml:space="preserve"> are carried forward and paid together with the next payout or at termination, whichever is earlier.</w:t>
      </w:r>
    </w:p>
    <w:p>
      <w:r>
        <w:rPr>
          <w:rFonts w:ascii="Calibri" w:hAnsi="Calibri"/>
          <w:b/>
          <w:color w:val="4C1D95"/>
          <w:sz w:val="21"/>
        </w:rPr>
        <w:t>8.4</w:t>
      </w:r>
      <w:r>
        <w:rPr>
          <w:rFonts w:ascii="Calibri" w:hAnsi="Calibri"/>
          <w:sz w:val="21"/>
        </w:rPr>
        <w:t xml:space="preserve"> </w:t>
      </w:r>
      <w:r>
        <w:rPr>
          <w:rFonts w:ascii="Calibri" w:hAnsi="Calibri"/>
          <w:b/>
          <w:color w:val="4C1D95"/>
          <w:sz w:val="21"/>
        </w:rPr>
        <w:t>Statements.</w:t>
      </w:r>
      <w:r>
        <w:rPr>
          <w:rFonts w:ascii="Calibri" w:hAnsi="Calibri"/>
          <w:sz w:val="21"/>
        </w:rPr>
        <w:t xml:space="preserve"> Every payment is accompanied by a written statement showing: Client and Project, Client Revenue received, each Direct Expense line, Net Profit, the split, and the amount paid.</w:t>
      </w:r>
    </w:p>
    <w:p>
      <w:r>
        <w:rPr>
          <w:rFonts w:ascii="Calibri" w:hAnsi="Calibri"/>
          <w:b/>
          <w:color w:val="4C1D95"/>
          <w:sz w:val="21"/>
        </w:rPr>
        <w:t>8.5</w:t>
      </w:r>
      <w:r>
        <w:rPr>
          <w:rFonts w:ascii="Calibri" w:hAnsi="Calibri"/>
          <w:sz w:val="21"/>
        </w:rPr>
        <w:t xml:space="preserve"> </w:t>
      </w:r>
      <w:r>
        <w:rPr>
          <w:rFonts w:ascii="Calibri" w:hAnsi="Calibri"/>
          <w:b/>
          <w:color w:val="4C1D95"/>
          <w:sz w:val="21"/>
        </w:rPr>
        <w:t>Queries.</w:t>
      </w:r>
      <w:r>
        <w:rPr>
          <w:rFonts w:ascii="Calibri" w:hAnsi="Calibri"/>
          <w:sz w:val="21"/>
        </w:rPr>
        <w:t xml:space="preserve"> The Sales Partner may raise a query on any statement within </w:t>
      </w:r>
      <w:r>
        <w:rPr>
          <w:rFonts w:ascii="Calibri" w:hAnsi="Calibri"/>
          <w:b/>
          <w:color w:val="4C1D95"/>
          <w:sz w:val="21"/>
        </w:rPr>
        <w:t>15 days</w:t>
      </w:r>
      <w:r>
        <w:rPr>
          <w:rFonts w:ascii="Calibri" w:hAnsi="Calibri"/>
          <w:sz w:val="21"/>
        </w:rPr>
        <w:t>. Disputed amounts are held back pending resolution; undisputed amounts are paid on time.</w:t>
      </w:r>
    </w:p>
    <w:p>
      <w:r>
        <w:rPr>
          <w:rFonts w:ascii="Calibri" w:hAnsi="Calibri"/>
          <w:b/>
          <w:color w:val="4C1D95"/>
          <w:sz w:val="21"/>
        </w:rPr>
        <w:t>8.6</w:t>
      </w:r>
      <w:r>
        <w:rPr>
          <w:rFonts w:ascii="Calibri" w:hAnsi="Calibri"/>
          <w:sz w:val="21"/>
        </w:rPr>
        <w:t xml:space="preserve"> </w:t>
      </w:r>
      <w:r>
        <w:rPr>
          <w:rFonts w:ascii="Calibri" w:hAnsi="Calibri"/>
          <w:b/>
          <w:color w:val="4C1D95"/>
          <w:sz w:val="21"/>
        </w:rPr>
        <w:t>Tax.</w:t>
      </w:r>
      <w:r>
        <w:rPr>
          <w:rFonts w:ascii="Calibri" w:hAnsi="Calibri"/>
          <w:sz w:val="21"/>
        </w:rPr>
        <w:t xml:space="preserve"> Where Devzard is required by law to withhold tax from a payment to the Sales Partner, it will do so, remit it to the authority, and provide the Sales Partner with a withholding certificate.</w:t>
      </w:r>
    </w:p>
    <w:p>
      <w:pPr>
        <w:spacing w:before="40" w:after="120"/>
        <w:pBdr>
          <w:bottom w:val="single" w:sz="8" w:space="4" w:color="E5E1F5"/>
        </w:pBdr>
      </w:pPr>
    </w:p>
    <w:p>
      <w:pPr>
        <w:spacing w:before="320" w:after="80"/>
      </w:pPr>
      <w:r>
        <w:rPr>
          <w:b/>
          <w:color w:val="6D28D9"/>
          <w:sz w:val="30"/>
        </w:rPr>
        <w:t>9. Recurring revenue, renewals and upsells</w:t>
      </w:r>
    </w:p>
    <w:p>
      <w:r>
        <w:rPr>
          <w:rFonts w:ascii="Calibri" w:hAnsi="Calibri"/>
          <w:b/>
          <w:color w:val="4C1D95"/>
          <w:sz w:val="21"/>
        </w:rPr>
        <w:t>9.1</w:t>
      </w:r>
      <w:r>
        <w:rPr>
          <w:rFonts w:ascii="Calibri" w:hAnsi="Calibri"/>
          <w:sz w:val="21"/>
        </w:rPr>
        <w:t xml:space="preserve"> The Sales Partner earns 30% of Net Profit on </w:t>
      </w:r>
      <w:r>
        <w:rPr>
          <w:rFonts w:ascii="Calibri" w:hAnsi="Calibri"/>
          <w:b/>
          <w:color w:val="4C1D95"/>
          <w:sz w:val="21"/>
        </w:rPr>
        <w:t>recurring and repeat revenue</w:t>
      </w:r>
      <w:r>
        <w:rPr>
          <w:rFonts w:ascii="Calibri" w:hAnsi="Calibri"/>
          <w:sz w:val="21"/>
        </w:rPr>
        <w:t xml:space="preserve"> from a Registered Lead's Client, including maintenance and support retainers, hosting, SEO and marketing retainers, licence renewals, and follow-on or additional projects, for as long as this Agreement is in force.</w:t>
      </w:r>
    </w:p>
    <w:p>
      <w:r>
        <w:rPr>
          <w:rFonts w:ascii="Calibri" w:hAnsi="Calibri"/>
          <w:b/>
          <w:color w:val="4C1D95"/>
          <w:sz w:val="21"/>
        </w:rPr>
        <w:t>9.2</w:t>
      </w:r>
      <w:r>
        <w:rPr>
          <w:rFonts w:ascii="Calibri" w:hAnsi="Calibri"/>
          <w:sz w:val="21"/>
        </w:rPr>
        <w:t xml:space="preserve"> Recurring Commission is calculated monthly (or per billing cycle) on amounts actually received in that period, less Direct Expenses for that period, and is paid under clause 8.</w:t>
      </w:r>
    </w:p>
    <w:p>
      <w:r>
        <w:rPr>
          <w:rFonts w:ascii="Calibri" w:hAnsi="Calibri"/>
          <w:b/>
          <w:color w:val="4C1D95"/>
          <w:sz w:val="21"/>
        </w:rPr>
        <w:t>9.3</w:t>
      </w:r>
      <w:r>
        <w:rPr>
          <w:rFonts w:ascii="Calibri" w:hAnsi="Calibri"/>
          <w:sz w:val="21"/>
        </w:rPr>
        <w:t xml:space="preserve"> Commission on upsells, add-ons and change requests introduced by Devzard's delivery team (rather than by the Sales Partner) is payable at </w:t>
      </w:r>
      <w:r>
        <w:rPr>
          <w:rFonts w:ascii="Calibri" w:hAnsi="Calibri"/>
          <w:b/>
          <w:color w:val="4C1D95"/>
          <w:sz w:val="21"/>
        </w:rPr>
        <w:t>15% of Net Profit</w:t>
      </w:r>
      <w:r>
        <w:rPr>
          <w:rFonts w:ascii="Calibri" w:hAnsi="Calibri"/>
          <w:sz w:val="21"/>
        </w:rPr>
        <w:t>. Where the Sales Partner introduces or supports the additional work, the full 30% applies.</w:t>
      </w:r>
    </w:p>
    <w:tbl>
      <w:tblPr>
        <w:tblW w:type="auto" w:w="0"/>
        <w:jc w:val="center"/>
        <w:tblLook w:firstColumn="1" w:firstRow="1" w:lastColumn="0" w:lastRow="0" w:noHBand="0" w:noVBand="1" w:val="04A0"/>
      </w:tblPr>
      <w:tblGrid>
        <w:gridCol w:w="9792"/>
      </w:tblGrid>
      <w:tr>
        <w:tc>
          <w:tcPr>
            <w:tcW w:type="dxa" w:w="9792"/>
            <w:shd w:val="clear" w:color="auto" w:fill="F5F3FF"/>
            <w:tcMar>
              <w:top w:w="120" w:type="dxa"/>
              <w:start w:w="160" w:type="dxa"/>
              <w:bottom w:w="120" w:type="dxa"/>
              <w:end w:w="160" w:type="dxa"/>
            </w:tcMar>
          </w:tcPr>
          <w:p>
            <w:pPr>
              <w:spacing w:after="80"/>
            </w:pPr>
            <w:r/>
            <w:r>
              <w:rPr>
                <w:rFonts w:ascii="Calibri" w:hAnsi="Calibri"/>
                <w:b/>
                <w:color w:val="4C1D95"/>
                <w:sz w:val="20"/>
              </w:rPr>
              <w:t>Optional variant — declining renewal rate.</w:t>
            </w:r>
            <w:r>
              <w:rPr>
                <w:rFonts w:ascii="Calibri" w:hAnsi="Calibri"/>
                <w:sz w:val="20"/>
              </w:rPr>
              <w:t xml:space="preserve"> If you prefer a declining rate on long-running accounts, replace clause 9.1 with: </w:t>
            </w:r>
            <w:r>
              <w:rPr>
                <w:rFonts w:ascii="Calibri" w:hAnsi="Calibri"/>
                <w:i/>
                <w:sz w:val="20"/>
              </w:rPr>
              <w:t>30% of Net Profit on recurring revenue for the first 12 months of the Client relationship, and 15% thereafter for as long as this Agreement is in force.</w:t>
            </w:r>
            <w:r>
              <w:rPr>
                <w:rFonts w:ascii="Calibri" w:hAnsi="Calibri"/>
                <w:sz w:val="20"/>
              </w:rPr>
              <w:t xml:space="preserve"> Delete this box if you keep the standard terms.</w:t>
            </w:r>
          </w:p>
        </w:tc>
      </w:tr>
    </w:tbl>
    <w:p>
      <w:pPr>
        <w:spacing w:after="40"/>
      </w:pPr>
    </w:p>
    <w:p>
      <w:pPr>
        <w:spacing w:before="40" w:after="120"/>
        <w:pBdr>
          <w:bottom w:val="single" w:sz="8" w:space="4" w:color="E5E1F5"/>
        </w:pBdr>
      </w:pPr>
    </w:p>
    <w:p>
      <w:pPr>
        <w:spacing w:before="320" w:after="80"/>
      </w:pPr>
      <w:r>
        <w:rPr>
          <w:b/>
          <w:color w:val="6D28D9"/>
          <w:sz w:val="30"/>
        </w:rPr>
        <w:t>10. Multiple partners and blended attribution</w:t>
      </w:r>
    </w:p>
    <w:p>
      <w:r>
        <w:rPr>
          <w:rFonts w:ascii="Calibri" w:hAnsi="Calibri"/>
          <w:b/>
          <w:color w:val="4C1D95"/>
          <w:sz w:val="21"/>
        </w:rPr>
        <w:t>10.1</w:t>
      </w:r>
      <w:r>
        <w:rPr>
          <w:rFonts w:ascii="Calibri" w:hAnsi="Calibri"/>
          <w:sz w:val="21"/>
        </w:rPr>
        <w:t xml:space="preserve"> Where the same Lead is validly worked by more than one partner, Devzard will inform both partners promptly and in writing.</w:t>
      </w:r>
    </w:p>
    <w:p>
      <w:r>
        <w:rPr>
          <w:rFonts w:ascii="Calibri" w:hAnsi="Calibri"/>
          <w:b/>
          <w:color w:val="4C1D95"/>
          <w:sz w:val="21"/>
        </w:rPr>
        <w:t>10.2</w:t>
      </w:r>
      <w:r>
        <w:rPr>
          <w:rFonts w:ascii="Calibri" w:hAnsi="Calibri"/>
          <w:sz w:val="21"/>
        </w:rPr>
        <w:t xml:space="preserve"> The partners may agree a split of the 30% between them, and will confirm it to Devzard in writing. If they cannot agree within 10 business days, the 30% is divided </w:t>
      </w:r>
      <w:r>
        <w:rPr>
          <w:rFonts w:ascii="Calibri" w:hAnsi="Calibri"/>
          <w:b/>
          <w:color w:val="4C1D95"/>
          <w:sz w:val="21"/>
        </w:rPr>
        <w:t>proportionally to each partner's documented contribution</w:t>
      </w:r>
      <w:r>
        <w:rPr>
          <w:rFonts w:ascii="Calibri" w:hAnsi="Calibri"/>
          <w:sz w:val="21"/>
        </w:rPr>
        <w:t xml:space="preserve"> as assessed in good faith by Devzard, with input from both partners, and the assessment and its reasons are shared with both.</w:t>
      </w:r>
    </w:p>
    <w:p>
      <w:r>
        <w:rPr>
          <w:rFonts w:ascii="Calibri" w:hAnsi="Calibri"/>
          <w:b/>
          <w:color w:val="4C1D95"/>
          <w:sz w:val="21"/>
        </w:rPr>
        <w:t>10.3</w:t>
      </w:r>
      <w:r>
        <w:rPr>
          <w:rFonts w:ascii="Calibri" w:hAnsi="Calibri"/>
          <w:sz w:val="21"/>
        </w:rPr>
        <w:t xml:space="preserve"> Devzard will not pay a total Commission exceeding 30% of Net Profit on a single Project, except under the optional bonus in the Program Overview if it has been expressly adopted in writing.</w:t>
      </w:r>
    </w:p>
    <w:p>
      <w:pPr>
        <w:spacing w:before="40" w:after="120"/>
        <w:pBdr>
          <w:bottom w:val="single" w:sz="8" w:space="4" w:color="E5E1F5"/>
        </w:pBdr>
      </w:pPr>
    </w:p>
    <w:p>
      <w:pPr>
        <w:spacing w:before="320" w:after="80"/>
      </w:pPr>
      <w:r>
        <w:rPr>
          <w:b/>
          <w:color w:val="6D28D9"/>
          <w:sz w:val="30"/>
        </w:rPr>
        <w:t>11. Trial Period</w:t>
      </w:r>
    </w:p>
    <w:p>
      <w:r>
        <w:rPr>
          <w:rFonts w:ascii="Calibri" w:hAnsi="Calibri"/>
          <w:b/>
          <w:color w:val="4C1D95"/>
          <w:sz w:val="21"/>
        </w:rPr>
        <w:t>11.1</w:t>
      </w:r>
      <w:r>
        <w:rPr>
          <w:rFonts w:ascii="Calibri" w:hAnsi="Calibri"/>
          <w:sz w:val="21"/>
        </w:rPr>
        <w:t xml:space="preserve"> The first </w:t>
      </w:r>
      <w:r>
        <w:rPr>
          <w:rFonts w:ascii="Calibri" w:hAnsi="Calibri"/>
          <w:b/>
          <w:color w:val="4C1D95"/>
          <w:sz w:val="21"/>
        </w:rPr>
        <w:t>60 days</w:t>
      </w:r>
      <w:r>
        <w:rPr>
          <w:rFonts w:ascii="Calibri" w:hAnsi="Calibri"/>
          <w:sz w:val="21"/>
        </w:rPr>
        <w:t xml:space="preserve"> from the date of this Agreement are a Trial Period.</w:t>
      </w:r>
    </w:p>
    <w:p>
      <w:r>
        <w:rPr>
          <w:rFonts w:ascii="Calibri" w:hAnsi="Calibri"/>
          <w:b/>
          <w:color w:val="4C1D95"/>
          <w:sz w:val="21"/>
        </w:rPr>
        <w:t>11.2</w:t>
      </w:r>
      <w:r>
        <w:rPr>
          <w:rFonts w:ascii="Calibri" w:hAnsi="Calibri"/>
          <w:sz w:val="21"/>
        </w:rPr>
        <w:t xml:space="preserve"> The default Trial Period targets are: 20 Qualified Leads registered, 6 discovery calls held, 4 proposals issued, and 1 Project closed. The Parties may record different targets in Schedule E before the Trial Period begins.</w:t>
      </w:r>
    </w:p>
    <w:p>
      <w:r>
        <w:rPr>
          <w:rFonts w:ascii="Calibri" w:hAnsi="Calibri"/>
          <w:b/>
          <w:color w:val="4C1D95"/>
          <w:sz w:val="21"/>
        </w:rPr>
        <w:t>11.3</w:t>
      </w:r>
      <w:r>
        <w:rPr>
          <w:rFonts w:ascii="Calibri" w:hAnsi="Calibri"/>
          <w:sz w:val="21"/>
        </w:rPr>
        <w:t xml:space="preserve"> Commission is payable on Projects closed during the Trial Period on exactly the same terms as afterwards.</w:t>
      </w:r>
    </w:p>
    <w:p>
      <w:r>
        <w:rPr>
          <w:rFonts w:ascii="Calibri" w:hAnsi="Calibri"/>
          <w:b/>
          <w:color w:val="4C1D95"/>
          <w:sz w:val="21"/>
        </w:rPr>
        <w:t>11.4</w:t>
      </w:r>
      <w:r>
        <w:rPr>
          <w:rFonts w:ascii="Calibri" w:hAnsi="Calibri"/>
          <w:sz w:val="21"/>
        </w:rPr>
        <w:t xml:space="preserve"> At the end of the Trial Period the Parties will review performance and agree in writing to one of: (a) continue this Agreement without a fixed end date; (b) extend the Trial Period for up to 30 further days; (c) change the target segment, channel or messaging and continue; or (d) terminate.</w:t>
      </w:r>
    </w:p>
    <w:p>
      <w:r>
        <w:rPr>
          <w:rFonts w:ascii="Calibri" w:hAnsi="Calibri"/>
          <w:b/>
          <w:color w:val="4C1D95"/>
          <w:sz w:val="21"/>
        </w:rPr>
        <w:t>11.5</w:t>
      </w:r>
      <w:r>
        <w:rPr>
          <w:rFonts w:ascii="Calibri" w:hAnsi="Calibri"/>
          <w:sz w:val="21"/>
        </w:rPr>
        <w:t xml:space="preserve"> If neither Party gives notice under clause 11.4, this Agreement continues as an open-ended partnership on the same terms.</w:t>
      </w:r>
    </w:p>
    <w:p>
      <w:pPr>
        <w:spacing w:before="40" w:after="120"/>
        <w:pBdr>
          <w:bottom w:val="single" w:sz="8" w:space="4" w:color="E5E1F5"/>
        </w:pBdr>
      </w:pPr>
    </w:p>
    <w:p>
      <w:pPr>
        <w:spacing w:before="320" w:after="80"/>
      </w:pPr>
      <w:r>
        <w:rPr>
          <w:b/>
          <w:color w:val="6D28D9"/>
          <w:sz w:val="30"/>
        </w:rPr>
        <w:t>12. Non-payment, refunds and adjustments</w:t>
      </w:r>
    </w:p>
    <w:p>
      <w:r>
        <w:rPr>
          <w:rFonts w:ascii="Calibri" w:hAnsi="Calibri"/>
          <w:b/>
          <w:color w:val="4C1D95"/>
          <w:sz w:val="21"/>
        </w:rPr>
        <w:t>12.1</w:t>
      </w:r>
      <w:r>
        <w:rPr>
          <w:rFonts w:ascii="Calibri" w:hAnsi="Calibri"/>
          <w:sz w:val="21"/>
        </w:rPr>
        <w:t xml:space="preserve"> No Commission is earned on any amount the Client has not paid. Where a Client pays in part, Commission is calculated on the part received.</w:t>
      </w:r>
    </w:p>
    <w:p>
      <w:r>
        <w:rPr>
          <w:rFonts w:ascii="Calibri" w:hAnsi="Calibri"/>
          <w:b/>
          <w:color w:val="4C1D95"/>
          <w:sz w:val="21"/>
        </w:rPr>
        <w:t>12.2</w:t>
      </w:r>
      <w:r>
        <w:rPr>
          <w:rFonts w:ascii="Calibri" w:hAnsi="Calibri"/>
          <w:sz w:val="21"/>
        </w:rPr>
        <w:t xml:space="preserve"> Where a Client's payment is refunded, reversed, charged back, or recovered by Devzard as a bad debt, any Commission paid on that amount is recoverable and may be set off against future Commission. If no future Commission arises within 6 months, the amount is repayable on demand.</w:t>
      </w:r>
    </w:p>
    <w:p>
      <w:r>
        <w:rPr>
          <w:rFonts w:ascii="Calibri" w:hAnsi="Calibri"/>
          <w:b/>
          <w:color w:val="4C1D95"/>
          <w:sz w:val="21"/>
        </w:rPr>
        <w:t>12.3</w:t>
      </w:r>
      <w:r>
        <w:rPr>
          <w:rFonts w:ascii="Calibri" w:hAnsi="Calibri"/>
          <w:sz w:val="21"/>
        </w:rPr>
        <w:t xml:space="preserve"> Where a Client withholds or delays payment in a genuine dispute about the Services, Commission on the disputed amount is paid only when and to the extent that Devzard receives it. Commission on undisputed amounts is paid on time.</w:t>
      </w:r>
    </w:p>
    <w:p>
      <w:r>
        <w:rPr>
          <w:rFonts w:ascii="Calibri" w:hAnsi="Calibri"/>
          <w:b/>
          <w:color w:val="4C1D95"/>
          <w:sz w:val="21"/>
        </w:rPr>
        <w:t>12.4</w:t>
      </w:r>
      <w:r>
        <w:rPr>
          <w:rFonts w:ascii="Calibri" w:hAnsi="Calibri"/>
          <w:sz w:val="21"/>
        </w:rPr>
        <w:t xml:space="preserve"> Where a refund or credit arises from the Sales Partner's material misrepresentation or breach of this Agreement, the resulting loss is borne by the Sales Partner and set off against their Commission.</w:t>
      </w:r>
    </w:p>
    <w:p>
      <w:r>
        <w:rPr>
          <w:rFonts w:ascii="Calibri" w:hAnsi="Calibri"/>
          <w:b/>
          <w:color w:val="4C1D95"/>
          <w:sz w:val="21"/>
        </w:rPr>
        <w:t>12.5</w:t>
      </w:r>
      <w:r>
        <w:rPr>
          <w:rFonts w:ascii="Calibri" w:hAnsi="Calibri"/>
          <w:sz w:val="21"/>
        </w:rPr>
        <w:t xml:space="preserve"> The Sales Partner is never liable to Devzard for a Project that makes a loss. No negative balance arises from clause 7, except through clauses 12.2 and 12.4.</w:t>
      </w:r>
    </w:p>
    <w:p>
      <w:pPr>
        <w:spacing w:before="40" w:after="120"/>
        <w:pBdr>
          <w:bottom w:val="single" w:sz="8" w:space="4" w:color="E5E1F5"/>
        </w:pBdr>
      </w:pPr>
    </w:p>
    <w:p>
      <w:pPr>
        <w:spacing w:before="320" w:after="80"/>
      </w:pPr>
      <w:r>
        <w:rPr>
          <w:b/>
          <w:color w:val="6D28D9"/>
          <w:sz w:val="30"/>
        </w:rPr>
        <w:t>13. Confidentiality</w:t>
      </w:r>
    </w:p>
    <w:p>
      <w:r>
        <w:rPr>
          <w:rFonts w:ascii="Calibri" w:hAnsi="Calibri"/>
          <w:b/>
          <w:color w:val="4C1D95"/>
          <w:sz w:val="21"/>
        </w:rPr>
        <w:t>13.1</w:t>
      </w:r>
      <w:r>
        <w:rPr>
          <w:rFonts w:ascii="Calibri" w:hAnsi="Calibri"/>
          <w:sz w:val="21"/>
        </w:rPr>
        <w:t xml:space="preserve"> Each Party will keep confidential all non-public information received from the other, including Client identities and contact details, pricing, cost structures, margins, proposals, delivery methods, the Lead Register, and the terms of this Agreement.</w:t>
      </w:r>
    </w:p>
    <w:p>
      <w:r>
        <w:rPr>
          <w:rFonts w:ascii="Calibri" w:hAnsi="Calibri"/>
          <w:b/>
          <w:color w:val="4C1D95"/>
          <w:sz w:val="21"/>
        </w:rPr>
        <w:t>13.2</w:t>
      </w:r>
      <w:r>
        <w:rPr>
          <w:rFonts w:ascii="Calibri" w:hAnsi="Calibri"/>
          <w:sz w:val="21"/>
        </w:rPr>
        <w:t xml:space="preserve"> Confidential information may be used only to perform this Agreement. It may not be disclosed to any third party without prior written consent, except where required by law.</w:t>
      </w:r>
    </w:p>
    <w:p>
      <w:r>
        <w:rPr>
          <w:rFonts w:ascii="Calibri" w:hAnsi="Calibri"/>
          <w:b/>
          <w:color w:val="4C1D95"/>
          <w:sz w:val="21"/>
        </w:rPr>
        <w:t>13.3</w:t>
      </w:r>
      <w:r>
        <w:rPr>
          <w:rFonts w:ascii="Calibri" w:hAnsi="Calibri"/>
          <w:sz w:val="21"/>
        </w:rPr>
        <w:t xml:space="preserve"> These obligations continue for </w:t>
      </w:r>
      <w:r>
        <w:rPr>
          <w:rFonts w:ascii="Calibri" w:hAnsi="Calibri"/>
          <w:b/>
          <w:color w:val="4C1D95"/>
          <w:sz w:val="21"/>
        </w:rPr>
        <w:t>3 years</w:t>
      </w:r>
      <w:r>
        <w:rPr>
          <w:rFonts w:ascii="Calibri" w:hAnsi="Calibri"/>
          <w:sz w:val="21"/>
        </w:rPr>
        <w:t xml:space="preserve"> after termination, and indefinitely in respect of Client personal data and trade secrets.</w:t>
      </w:r>
    </w:p>
    <w:p>
      <w:r>
        <w:rPr>
          <w:rFonts w:ascii="Calibri" w:hAnsi="Calibri"/>
          <w:b/>
          <w:color w:val="4C1D95"/>
          <w:sz w:val="21"/>
        </w:rPr>
        <w:t>13.4</w:t>
      </w:r>
      <w:r>
        <w:rPr>
          <w:rFonts w:ascii="Calibri" w:hAnsi="Calibri"/>
          <w:sz w:val="21"/>
        </w:rPr>
        <w:t xml:space="preserve"> The Sales Partner will handle Client personal data lawfully, share it with Devzard only for the purpose of the opportunity, and delete it on request once the opportunity has ended.</w:t>
      </w:r>
    </w:p>
    <w:p>
      <w:pPr>
        <w:spacing w:before="40" w:after="120"/>
        <w:pBdr>
          <w:bottom w:val="single" w:sz="8" w:space="4" w:color="E5E1F5"/>
        </w:pBdr>
      </w:pPr>
    </w:p>
    <w:p>
      <w:pPr>
        <w:spacing w:before="320" w:after="80"/>
      </w:pPr>
      <w:r>
        <w:rPr>
          <w:b/>
          <w:color w:val="6D28D9"/>
          <w:sz w:val="30"/>
        </w:rPr>
        <w:t>14. Intellectual property</w:t>
      </w:r>
    </w:p>
    <w:p>
      <w:r>
        <w:rPr>
          <w:rFonts w:ascii="Calibri" w:hAnsi="Calibri"/>
          <w:b/>
          <w:color w:val="4C1D95"/>
          <w:sz w:val="21"/>
        </w:rPr>
        <w:t>14.1</w:t>
      </w:r>
      <w:r>
        <w:rPr>
          <w:rFonts w:ascii="Calibri" w:hAnsi="Calibri"/>
          <w:sz w:val="21"/>
        </w:rPr>
        <w:t xml:space="preserve"> All intellectual property created in delivering the Services — code, designs, content, documentation and systems — belongs to Devzard or to the Client as set out in Devzard's contract with the Client. The Sales Partner acquires no rights in it.</w:t>
      </w:r>
    </w:p>
    <w:p>
      <w:r>
        <w:rPr>
          <w:rFonts w:ascii="Calibri" w:hAnsi="Calibri"/>
          <w:b/>
          <w:color w:val="4C1D95"/>
          <w:sz w:val="21"/>
        </w:rPr>
        <w:t>14.2</w:t>
      </w:r>
      <w:r>
        <w:rPr>
          <w:rFonts w:ascii="Calibri" w:hAnsi="Calibri"/>
          <w:sz w:val="21"/>
        </w:rPr>
        <w:t xml:space="preserve"> The Sales Partner acquires no rights in Devzard's name, logo, marks, templates, pitch materials or portfolio.</w:t>
      </w:r>
    </w:p>
    <w:p>
      <w:r>
        <w:rPr>
          <w:rFonts w:ascii="Calibri" w:hAnsi="Calibri"/>
          <w:b/>
          <w:color w:val="4C1D95"/>
          <w:sz w:val="21"/>
        </w:rPr>
        <w:t>14.3</w:t>
      </w:r>
      <w:r>
        <w:rPr>
          <w:rFonts w:ascii="Calibri" w:hAnsi="Calibri"/>
          <w:sz w:val="21"/>
        </w:rPr>
        <w:t xml:space="preserve"> The Sales Partner will not reuse, resell or replicate any Client deliverable, Devzard proposal, quotation or internal document.</w:t>
      </w:r>
    </w:p>
    <w:p>
      <w:pPr>
        <w:spacing w:before="40" w:after="120"/>
        <w:pBdr>
          <w:bottom w:val="single" w:sz="8" w:space="4" w:color="E5E1F5"/>
        </w:pBdr>
      </w:pPr>
    </w:p>
    <w:p>
      <w:pPr>
        <w:spacing w:before="320" w:after="80"/>
      </w:pPr>
      <w:r>
        <w:rPr>
          <w:b/>
          <w:color w:val="6D28D9"/>
          <w:sz w:val="30"/>
        </w:rPr>
        <w:t>15. Non-circumvention</w:t>
      </w:r>
    </w:p>
    <w:p>
      <w:r>
        <w:rPr>
          <w:rFonts w:ascii="Calibri" w:hAnsi="Calibri"/>
          <w:b/>
          <w:color w:val="4C1D95"/>
          <w:sz w:val="21"/>
        </w:rPr>
        <w:t>15.1</w:t>
      </w:r>
      <w:r>
        <w:rPr>
          <w:rFonts w:ascii="Calibri" w:hAnsi="Calibri"/>
          <w:sz w:val="21"/>
        </w:rPr>
        <w:t xml:space="preserve"> The Sales Partner will not, during this Agreement and for </w:t>
      </w:r>
      <w:r>
        <w:rPr>
          <w:rFonts w:ascii="Calibri" w:hAnsi="Calibri"/>
          <w:b/>
          <w:color w:val="4C1D95"/>
          <w:sz w:val="21"/>
        </w:rPr>
        <w:t>12 months</w:t>
      </w:r>
      <w:r>
        <w:rPr>
          <w:rFonts w:ascii="Calibri" w:hAnsi="Calibri"/>
          <w:sz w:val="21"/>
        </w:rPr>
        <w:t xml:space="preserve"> after it ends, directly or indirectly solicit, contract with, or supply services substantially similar to the Services to any Registered Lead's Client, other than through Devzard.</w:t>
      </w:r>
    </w:p>
    <w:p>
      <w:r>
        <w:rPr>
          <w:rFonts w:ascii="Calibri" w:hAnsi="Calibri"/>
          <w:b/>
          <w:color w:val="4C1D95"/>
          <w:sz w:val="21"/>
        </w:rPr>
        <w:t>15.2</w:t>
      </w:r>
      <w:r>
        <w:rPr>
          <w:rFonts w:ascii="Calibri" w:hAnsi="Calibri"/>
          <w:sz w:val="21"/>
        </w:rPr>
        <w:t xml:space="preserve"> The Sales Partner will not introduce a Registered Lead's Client to a competing supplier for the purpose of displacing Devzard.</w:t>
      </w:r>
    </w:p>
    <w:p>
      <w:r>
        <w:rPr>
          <w:rFonts w:ascii="Calibri" w:hAnsi="Calibri"/>
          <w:b/>
          <w:color w:val="4C1D95"/>
          <w:sz w:val="21"/>
        </w:rPr>
        <w:t>15.3</w:t>
      </w:r>
      <w:r>
        <w:rPr>
          <w:rFonts w:ascii="Calibri" w:hAnsi="Calibri"/>
          <w:sz w:val="21"/>
        </w:rPr>
        <w:t xml:space="preserve"> Devzard will not circumvent the Sales Partner: where Devzard contracts with a Registered Lead's Client for Services, Commission is payable under this Agreement even if Devzard signed the contract directly, provided the Lead was registered and the protection conditions in clause 4 are met.</w:t>
      </w:r>
    </w:p>
    <w:p>
      <w:r>
        <w:rPr>
          <w:rFonts w:ascii="Calibri" w:hAnsi="Calibri"/>
          <w:b/>
          <w:color w:val="4C1D95"/>
          <w:sz w:val="21"/>
        </w:rPr>
        <w:t>15.4</w:t>
      </w:r>
      <w:r>
        <w:rPr>
          <w:rFonts w:ascii="Calibri" w:hAnsi="Calibri"/>
          <w:sz w:val="21"/>
        </w:rPr>
        <w:t xml:space="preserve"> Clauses 15.1 and 15.2 apply only to Clients that became Clients through the Sales Partner's Registered Leads, and only for the duration stated. They do not restrict the Sales Partner's general business activity.</w:t>
      </w:r>
    </w:p>
    <w:p>
      <w:pPr>
        <w:spacing w:before="40" w:after="120"/>
        <w:pBdr>
          <w:bottom w:val="single" w:sz="8" w:space="4" w:color="E5E1F5"/>
        </w:pBdr>
      </w:pPr>
    </w:p>
    <w:p>
      <w:pPr>
        <w:spacing w:before="320" w:after="80"/>
      </w:pPr>
      <w:r>
        <w:rPr>
          <w:b/>
          <w:color w:val="6D28D9"/>
          <w:sz w:val="30"/>
        </w:rPr>
        <w:t>16. Non-solicitation of personnel</w:t>
      </w:r>
    </w:p>
    <w:p>
      <w:r>
        <w:rPr>
          <w:rFonts w:ascii="Calibri" w:hAnsi="Calibri"/>
          <w:b/>
          <w:color w:val="4C1D95"/>
          <w:sz w:val="21"/>
        </w:rPr>
        <w:t>16.1</w:t>
      </w:r>
      <w:r>
        <w:rPr>
          <w:rFonts w:ascii="Calibri" w:hAnsi="Calibri"/>
          <w:sz w:val="21"/>
        </w:rPr>
        <w:t xml:space="preserve"> Neither Party will, during this Agreement and for 12 months after it ends, knowingly solicit for employment any employee or core contractor of the other Party who was involved in the Projects, without the other Party's written consent.</w:t>
      </w:r>
    </w:p>
    <w:p>
      <w:r>
        <w:rPr>
          <w:rFonts w:ascii="Calibri" w:hAnsi="Calibri"/>
          <w:b/>
          <w:color w:val="4C1D95"/>
          <w:sz w:val="21"/>
        </w:rPr>
        <w:t>16.2</w:t>
      </w:r>
      <w:r>
        <w:rPr>
          <w:rFonts w:ascii="Calibri" w:hAnsi="Calibri"/>
          <w:sz w:val="21"/>
        </w:rPr>
        <w:t xml:space="preserve"> This clause does not prevent responses to general public advertisements.</w:t>
      </w:r>
    </w:p>
    <w:p>
      <w:pPr>
        <w:spacing w:before="40" w:after="120"/>
        <w:pBdr>
          <w:bottom w:val="single" w:sz="8" w:space="4" w:color="E5E1F5"/>
        </w:pBdr>
      </w:pPr>
    </w:p>
    <w:p>
      <w:pPr>
        <w:spacing w:before="320" w:after="80"/>
      </w:pPr>
      <w:r>
        <w:rPr>
          <w:b/>
          <w:color w:val="6D28D9"/>
          <w:sz w:val="30"/>
        </w:rPr>
        <w:t>17. Compliance and representations</w:t>
      </w:r>
    </w:p>
    <w:p>
      <w:r>
        <w:rPr>
          <w:rFonts w:ascii="Calibri" w:hAnsi="Calibri"/>
          <w:b/>
          <w:color w:val="4C1D95"/>
          <w:sz w:val="21"/>
        </w:rPr>
        <w:t>17.1</w:t>
      </w:r>
      <w:r>
        <w:rPr>
          <w:rFonts w:ascii="Calibri" w:hAnsi="Calibri"/>
          <w:sz w:val="21"/>
        </w:rPr>
        <w:t xml:space="preserve"> Each Party represents that it has the capacity and authority to enter into this Agreement, and that entering into it does not breach any other obligation it owes.</w:t>
      </w:r>
    </w:p>
    <w:p>
      <w:r>
        <w:rPr>
          <w:rFonts w:ascii="Calibri" w:hAnsi="Calibri"/>
          <w:b/>
          <w:color w:val="4C1D95"/>
          <w:sz w:val="21"/>
        </w:rPr>
        <w:t>17.2</w:t>
      </w:r>
      <w:r>
        <w:rPr>
          <w:rFonts w:ascii="Calibri" w:hAnsi="Calibri"/>
          <w:sz w:val="21"/>
        </w:rPr>
        <w:t xml:space="preserve"> </w:t>
      </w:r>
      <w:r>
        <w:rPr>
          <w:rFonts w:ascii="Calibri" w:hAnsi="Calibri"/>
          <w:b/>
          <w:color w:val="4C1D95"/>
          <w:sz w:val="21"/>
        </w:rPr>
        <w:t>Anti-bribery.</w:t>
      </w:r>
      <w:r>
        <w:rPr>
          <w:rFonts w:ascii="Calibri" w:hAnsi="Calibri"/>
          <w:sz w:val="21"/>
        </w:rPr>
        <w:t xml:space="preserve"> The Sales Partner will not offer, promise, give or accept any bribe, kickback, facilitation payment or improper advantage in connection with any Lead, Client or public official. Any breach is a material breach of this Agreement.</w:t>
      </w:r>
    </w:p>
    <w:p>
      <w:r>
        <w:rPr>
          <w:rFonts w:ascii="Calibri" w:hAnsi="Calibri"/>
          <w:b/>
          <w:color w:val="4C1D95"/>
          <w:sz w:val="21"/>
        </w:rPr>
        <w:t>17.3</w:t>
      </w:r>
      <w:r>
        <w:rPr>
          <w:rFonts w:ascii="Calibri" w:hAnsi="Calibri"/>
          <w:sz w:val="21"/>
        </w:rPr>
        <w:t xml:space="preserve"> </w:t>
      </w:r>
      <w:r>
        <w:rPr>
          <w:rFonts w:ascii="Calibri" w:hAnsi="Calibri"/>
          <w:b/>
          <w:color w:val="4C1D95"/>
          <w:sz w:val="21"/>
        </w:rPr>
        <w:t>Anti-spam.</w:t>
      </w:r>
      <w:r>
        <w:rPr>
          <w:rFonts w:ascii="Calibri" w:hAnsi="Calibri"/>
          <w:sz w:val="21"/>
        </w:rPr>
        <w:t xml:space="preserve"> The Sales Partner will comply with applicable law on unsolicited communications and data protection, will identify themselves honestly in outreach, and will stop contacting anyone who asks them to.</w:t>
      </w:r>
    </w:p>
    <w:p>
      <w:r>
        <w:rPr>
          <w:rFonts w:ascii="Calibri" w:hAnsi="Calibri"/>
          <w:b/>
          <w:color w:val="4C1D95"/>
          <w:sz w:val="21"/>
        </w:rPr>
        <w:t>17.4</w:t>
      </w:r>
      <w:r>
        <w:rPr>
          <w:rFonts w:ascii="Calibri" w:hAnsi="Calibri"/>
          <w:sz w:val="21"/>
        </w:rPr>
        <w:t xml:space="preserve"> </w:t>
      </w:r>
      <w:r>
        <w:rPr>
          <w:rFonts w:ascii="Calibri" w:hAnsi="Calibri"/>
          <w:b/>
          <w:color w:val="4C1D95"/>
          <w:sz w:val="21"/>
        </w:rPr>
        <w:t>Accurate claims.</w:t>
      </w:r>
      <w:r>
        <w:rPr>
          <w:rFonts w:ascii="Calibri" w:hAnsi="Calibri"/>
          <w:sz w:val="21"/>
        </w:rPr>
        <w:t xml:space="preserve"> The Sales Partner will not overstate Devzard's experience, capacity, client list or results, and will not offer any guarantee of outcome, ranking or revenue.</w:t>
      </w:r>
    </w:p>
    <w:p>
      <w:r>
        <w:rPr>
          <w:rFonts w:ascii="Calibri" w:hAnsi="Calibri"/>
          <w:b/>
          <w:color w:val="4C1D95"/>
          <w:sz w:val="21"/>
        </w:rPr>
        <w:t>17.5</w:t>
      </w:r>
      <w:r>
        <w:rPr>
          <w:rFonts w:ascii="Calibri" w:hAnsi="Calibri"/>
          <w:sz w:val="21"/>
        </w:rPr>
        <w:t xml:space="preserve"> </w:t>
      </w:r>
      <w:r>
        <w:rPr>
          <w:rFonts w:ascii="Calibri" w:hAnsi="Calibri"/>
          <w:b/>
          <w:color w:val="4C1D95"/>
          <w:sz w:val="21"/>
        </w:rPr>
        <w:t>Brand use.</w:t>
      </w:r>
      <w:r>
        <w:rPr>
          <w:rFonts w:ascii="Calibri" w:hAnsi="Calibri"/>
          <w:sz w:val="21"/>
        </w:rPr>
        <w:t xml:space="preserve"> The Sales Partner may use Devzard's name, logo and approved materials only to promote Devzard's Services, in the form supplied, and must stop on termination.</w:t>
      </w:r>
    </w:p>
    <w:p>
      <w:pPr>
        <w:spacing w:before="40" w:after="120"/>
        <w:pBdr>
          <w:bottom w:val="single" w:sz="8" w:space="4" w:color="E5E1F5"/>
        </w:pBdr>
      </w:pPr>
    </w:p>
    <w:p>
      <w:pPr>
        <w:spacing w:before="320" w:after="80"/>
      </w:pPr>
      <w:r>
        <w:rPr>
          <w:b/>
          <w:color w:val="6D28D9"/>
          <w:sz w:val="30"/>
        </w:rPr>
        <w:t>18. Independent contractor status and taxes</w:t>
      </w:r>
    </w:p>
    <w:p>
      <w:r>
        <w:rPr>
          <w:rFonts w:ascii="Calibri" w:hAnsi="Calibri"/>
          <w:b/>
          <w:color w:val="4C1D95"/>
          <w:sz w:val="21"/>
        </w:rPr>
        <w:t>18.1</w:t>
      </w:r>
      <w:r>
        <w:rPr>
          <w:rFonts w:ascii="Calibri" w:hAnsi="Calibri"/>
          <w:sz w:val="21"/>
        </w:rPr>
        <w:t xml:space="preserve"> The Sales Partner is an </w:t>
      </w:r>
      <w:r>
        <w:rPr>
          <w:rFonts w:ascii="Calibri" w:hAnsi="Calibri"/>
          <w:b/>
          <w:color w:val="4C1D95"/>
          <w:sz w:val="21"/>
        </w:rPr>
        <w:t>independent contractor</w:t>
      </w:r>
      <w:r>
        <w:rPr>
          <w:rFonts w:ascii="Calibri" w:hAnsi="Calibri"/>
          <w:sz w:val="21"/>
        </w:rPr>
        <w:t>. Nothing in this Agreement creates an employment, agency, partnership or joint venture relationship. The Sales Partner is not entitled to any employment benefit, notice, gratuity, provident fund or leave.</w:t>
      </w:r>
    </w:p>
    <w:p>
      <w:r>
        <w:rPr>
          <w:rFonts w:ascii="Calibri" w:hAnsi="Calibri"/>
          <w:b/>
          <w:color w:val="4C1D95"/>
          <w:sz w:val="21"/>
        </w:rPr>
        <w:t>18.2</w:t>
      </w:r>
      <w:r>
        <w:rPr>
          <w:rFonts w:ascii="Calibri" w:hAnsi="Calibri"/>
          <w:sz w:val="21"/>
        </w:rPr>
        <w:t xml:space="preserve"> The Sales Partner is responsible for their own income tax and other statutory obligations arising from Commission, and for registering for a National Tax Number and, where eligible, appearing on the Active Taxpayer List. Devzard may withhold tax from payments where the law requires it (clause 8.6).</w:t>
      </w:r>
    </w:p>
    <w:p>
      <w:r>
        <w:rPr>
          <w:rFonts w:ascii="Calibri" w:hAnsi="Calibri"/>
          <w:b/>
          <w:color w:val="4C1D95"/>
          <w:sz w:val="21"/>
        </w:rPr>
        <w:t>18.3</w:t>
      </w:r>
      <w:r>
        <w:rPr>
          <w:rFonts w:ascii="Calibri" w:hAnsi="Calibri"/>
          <w:sz w:val="21"/>
        </w:rPr>
        <w:t xml:space="preserve"> The Sales Partner bears their own costs of doing business — transport, internet, phone, data, office and marketing.</w:t>
      </w:r>
    </w:p>
    <w:p>
      <w:r>
        <w:rPr>
          <w:rFonts w:ascii="Calibri" w:hAnsi="Calibri"/>
          <w:b/>
          <w:color w:val="4C1D95"/>
          <w:sz w:val="21"/>
        </w:rPr>
        <w:t>18.4</w:t>
      </w:r>
      <w:r>
        <w:rPr>
          <w:rFonts w:ascii="Calibri" w:hAnsi="Calibri"/>
          <w:sz w:val="21"/>
        </w:rPr>
        <w:t xml:space="preserve"> The Sales Partner is free to determine how, when and where they work, subject to clause 3.</w:t>
      </w:r>
    </w:p>
    <w:p>
      <w:pPr>
        <w:spacing w:before="40" w:after="120"/>
        <w:pBdr>
          <w:bottom w:val="single" w:sz="8" w:space="4" w:color="E5E1F5"/>
        </w:pBdr>
      </w:pPr>
    </w:p>
    <w:p>
      <w:pPr>
        <w:spacing w:before="320" w:after="80"/>
      </w:pPr>
      <w:r>
        <w:rPr>
          <w:b/>
          <w:color w:val="6D28D9"/>
          <w:sz w:val="30"/>
        </w:rPr>
        <w:t>19. Limitation of liability</w:t>
      </w:r>
    </w:p>
    <w:p>
      <w:r>
        <w:rPr>
          <w:rFonts w:ascii="Calibri" w:hAnsi="Calibri"/>
          <w:b/>
          <w:color w:val="4C1D95"/>
          <w:sz w:val="21"/>
        </w:rPr>
        <w:t>19.1</w:t>
      </w:r>
      <w:r>
        <w:rPr>
          <w:rFonts w:ascii="Calibri" w:hAnsi="Calibri"/>
          <w:sz w:val="21"/>
        </w:rPr>
        <w:t xml:space="preserve"> Devzard's total liability to the Sales Partner under or in connection with this Agreement is limited to the Commission properly payable for Registered Leads under clauses 6 to 9.</w:t>
      </w:r>
    </w:p>
    <w:p>
      <w:r>
        <w:rPr>
          <w:rFonts w:ascii="Calibri" w:hAnsi="Calibri"/>
          <w:b/>
          <w:color w:val="4C1D95"/>
          <w:sz w:val="21"/>
        </w:rPr>
        <w:t>19.2</w:t>
      </w:r>
      <w:r>
        <w:rPr>
          <w:rFonts w:ascii="Calibri" w:hAnsi="Calibri"/>
          <w:sz w:val="21"/>
        </w:rPr>
        <w:t xml:space="preserve"> Neither Party is liable for indirect, incidental, special or consequential loss, or for loss of profit, revenue, goodwill or opportunity, except as expressly provided in this Agreement.</w:t>
      </w:r>
    </w:p>
    <w:p>
      <w:r>
        <w:rPr>
          <w:rFonts w:ascii="Calibri" w:hAnsi="Calibri"/>
          <w:b/>
          <w:color w:val="4C1D95"/>
          <w:sz w:val="21"/>
        </w:rPr>
        <w:t>19.3</w:t>
      </w:r>
      <w:r>
        <w:rPr>
          <w:rFonts w:ascii="Calibri" w:hAnsi="Calibri"/>
          <w:sz w:val="21"/>
        </w:rPr>
        <w:t xml:space="preserve"> Nothing in this clause limits liability for fraud, wilful misconduct, breach of confidentiality, or anything else that cannot lawfully be limited.</w:t>
      </w:r>
    </w:p>
    <w:p>
      <w:pPr>
        <w:spacing w:before="40" w:after="120"/>
        <w:pBdr>
          <w:bottom w:val="single" w:sz="8" w:space="4" w:color="E5E1F5"/>
        </w:pBdr>
      </w:pPr>
    </w:p>
    <w:p>
      <w:pPr>
        <w:spacing w:before="320" w:after="80"/>
      </w:pPr>
      <w:r>
        <w:rPr>
          <w:b/>
          <w:color w:val="6D28D9"/>
          <w:sz w:val="30"/>
        </w:rPr>
        <w:t>20. Term and termination</w:t>
      </w:r>
    </w:p>
    <w:p>
      <w:r>
        <w:rPr>
          <w:rFonts w:ascii="Calibri" w:hAnsi="Calibri"/>
          <w:b/>
          <w:color w:val="4C1D95"/>
          <w:sz w:val="21"/>
        </w:rPr>
        <w:t>20.1</w:t>
      </w:r>
      <w:r>
        <w:rPr>
          <w:rFonts w:ascii="Calibri" w:hAnsi="Calibri"/>
          <w:sz w:val="21"/>
        </w:rPr>
        <w:t xml:space="preserve"> This Agreement starts on the date above and, after the Trial Period, continues until terminated under this clause.</w:t>
      </w:r>
    </w:p>
    <w:p>
      <w:r>
        <w:rPr>
          <w:rFonts w:ascii="Calibri" w:hAnsi="Calibri"/>
          <w:b/>
          <w:color w:val="4C1D95"/>
          <w:sz w:val="21"/>
        </w:rPr>
        <w:t>20.2</w:t>
      </w:r>
      <w:r>
        <w:rPr>
          <w:rFonts w:ascii="Calibri" w:hAnsi="Calibri"/>
          <w:sz w:val="21"/>
        </w:rPr>
        <w:t xml:space="preserve"> Either Party may terminate this Agreement at any time by giving </w:t>
      </w:r>
      <w:r>
        <w:rPr>
          <w:rFonts w:ascii="Calibri" w:hAnsi="Calibri"/>
          <w:b/>
          <w:color w:val="4C1D95"/>
          <w:sz w:val="21"/>
        </w:rPr>
        <w:t>30 days'</w:t>
      </w:r>
      <w:r>
        <w:rPr>
          <w:rFonts w:ascii="Calibri" w:hAnsi="Calibri"/>
          <w:sz w:val="21"/>
        </w:rPr>
        <w:t xml:space="preserve"> written notice. During the Trial Period, either Party may terminate by giving </w:t>
      </w:r>
      <w:r>
        <w:rPr>
          <w:rFonts w:ascii="Calibri" w:hAnsi="Calibri"/>
          <w:b/>
          <w:color w:val="4C1D95"/>
          <w:sz w:val="21"/>
        </w:rPr>
        <w:t>7 days'</w:t>
      </w:r>
      <w:r>
        <w:rPr>
          <w:rFonts w:ascii="Calibri" w:hAnsi="Calibri"/>
          <w:sz w:val="21"/>
        </w:rPr>
        <w:t xml:space="preserve"> written notice.</w:t>
      </w:r>
    </w:p>
    <w:p>
      <w:r>
        <w:rPr>
          <w:rFonts w:ascii="Calibri" w:hAnsi="Calibri"/>
          <w:b/>
          <w:color w:val="4C1D95"/>
          <w:sz w:val="21"/>
        </w:rPr>
        <w:t>20.3</w:t>
      </w:r>
      <w:r>
        <w:rPr>
          <w:rFonts w:ascii="Calibri" w:hAnsi="Calibri"/>
          <w:sz w:val="21"/>
        </w:rPr>
        <w:t xml:space="preserve"> Either Party may terminate immediately by written notice for fraud, bribery, wilful misconduct, breach of confidentiality, or any material breach that is not remedied within 14 days of written notice.</w:t>
      </w:r>
    </w:p>
    <w:p>
      <w:r>
        <w:rPr>
          <w:rFonts w:ascii="Calibri" w:hAnsi="Calibri"/>
          <w:b/>
          <w:color w:val="4C1D95"/>
          <w:sz w:val="21"/>
        </w:rPr>
        <w:t>20.4</w:t>
      </w:r>
      <w:r>
        <w:rPr>
          <w:rFonts w:ascii="Calibri" w:hAnsi="Calibri"/>
          <w:sz w:val="21"/>
        </w:rPr>
        <w:t xml:space="preserve"> </w:t>
      </w:r>
      <w:r>
        <w:rPr>
          <w:rFonts w:ascii="Calibri" w:hAnsi="Calibri"/>
          <w:b/>
          <w:color w:val="4C1D95"/>
          <w:sz w:val="21"/>
        </w:rPr>
        <w:t>Tail protection.</w:t>
      </w:r>
      <w:r>
        <w:rPr>
          <w:rFonts w:ascii="Calibri" w:hAnsi="Calibri"/>
          <w:sz w:val="21"/>
        </w:rPr>
        <w:t xml:space="preserve"> If the Sales Partner's Registered Lead signs a contract with Devzard within </w:t>
      </w:r>
      <w:r>
        <w:rPr>
          <w:rFonts w:ascii="Calibri" w:hAnsi="Calibri"/>
          <w:b/>
          <w:color w:val="4C1D95"/>
          <w:sz w:val="21"/>
        </w:rPr>
        <w:t>90 days</w:t>
      </w:r>
      <w:r>
        <w:rPr>
          <w:rFonts w:ascii="Calibri" w:hAnsi="Calibri"/>
          <w:sz w:val="21"/>
        </w:rPr>
        <w:t xml:space="preserve"> after termination, the Commission remains payable under this Agreement, and is paid when the conditions in clause 6.3 are met.</w:t>
      </w:r>
    </w:p>
    <w:p>
      <w:r>
        <w:rPr>
          <w:rFonts w:ascii="Calibri" w:hAnsi="Calibri"/>
          <w:b/>
          <w:color w:val="4C1D95"/>
          <w:sz w:val="21"/>
        </w:rPr>
        <w:t>20.5</w:t>
      </w:r>
      <w:r>
        <w:rPr>
          <w:rFonts w:ascii="Calibri" w:hAnsi="Calibri"/>
          <w:sz w:val="21"/>
        </w:rPr>
        <w:t xml:space="preserve"> On termination: the Sales Partner returns or deletes all confidential information, stops using Devzard's name and marks, and hands over all Lead information and Client contacts. Devzard pays all Commission earned and payable on or before the termination date, together with amounts carried forward under clause 8.3, within 30 days.</w:t>
      </w:r>
    </w:p>
    <w:p>
      <w:r>
        <w:rPr>
          <w:rFonts w:ascii="Calibri" w:hAnsi="Calibri"/>
          <w:b/>
          <w:color w:val="4C1D95"/>
          <w:sz w:val="21"/>
        </w:rPr>
        <w:t>20.6</w:t>
      </w:r>
      <w:r>
        <w:rPr>
          <w:rFonts w:ascii="Calibri" w:hAnsi="Calibri"/>
          <w:sz w:val="21"/>
        </w:rPr>
        <w:t xml:space="preserve"> Clauses 12, 13, 14, 15, 16, 19, 21 and 20.4 and 20.5 survive termination.</w:t>
      </w:r>
    </w:p>
    <w:p>
      <w:pPr>
        <w:spacing w:before="40" w:after="120"/>
        <w:pBdr>
          <w:bottom w:val="single" w:sz="8" w:space="4" w:color="E5E1F5"/>
        </w:pBdr>
      </w:pPr>
    </w:p>
    <w:p>
      <w:pPr>
        <w:spacing w:before="320" w:after="80"/>
      </w:pPr>
      <w:r>
        <w:rPr>
          <w:b/>
          <w:color w:val="6D28D9"/>
          <w:sz w:val="30"/>
        </w:rPr>
        <w:t>21. Governing law and dispute resolution</w:t>
      </w:r>
    </w:p>
    <w:p>
      <w:r>
        <w:rPr>
          <w:rFonts w:ascii="Calibri" w:hAnsi="Calibri"/>
          <w:b/>
          <w:color w:val="4C1D95"/>
          <w:sz w:val="21"/>
        </w:rPr>
        <w:t>21.1</w:t>
      </w:r>
      <w:r>
        <w:rPr>
          <w:rFonts w:ascii="Calibri" w:hAnsi="Calibri"/>
          <w:sz w:val="21"/>
        </w:rPr>
        <w:t xml:space="preserve"> This Agreement is governed by the laws of the </w:t>
      </w:r>
      <w:r>
        <w:rPr>
          <w:rFonts w:ascii="Calibri" w:hAnsi="Calibri"/>
          <w:b/>
          <w:color w:val="4C1D95"/>
          <w:sz w:val="21"/>
        </w:rPr>
        <w:t>Islamic Republic of Pakistan</w:t>
      </w:r>
      <w:r>
        <w:rPr>
          <w:rFonts w:ascii="Calibri" w:hAnsi="Calibri"/>
          <w:sz w:val="21"/>
        </w:rPr>
        <w:t>.</w:t>
      </w:r>
    </w:p>
    <w:p>
      <w:r>
        <w:rPr>
          <w:rFonts w:ascii="Calibri" w:hAnsi="Calibri"/>
          <w:b/>
          <w:color w:val="4C1D95"/>
          <w:sz w:val="21"/>
        </w:rPr>
        <w:t>21.2</w:t>
      </w:r>
      <w:r>
        <w:rPr>
          <w:rFonts w:ascii="Calibri" w:hAnsi="Calibri"/>
          <w:sz w:val="21"/>
        </w:rPr>
        <w:t xml:space="preserve"> The Parties will first attempt to resolve any dispute by good-faith discussion within 15 days of written notice of the dispute.</w:t>
      </w:r>
    </w:p>
    <w:p>
      <w:r>
        <w:rPr>
          <w:rFonts w:ascii="Calibri" w:hAnsi="Calibri"/>
          <w:b/>
          <w:color w:val="4C1D95"/>
          <w:sz w:val="21"/>
        </w:rPr>
        <w:t>21.3</w:t>
      </w:r>
      <w:r>
        <w:rPr>
          <w:rFonts w:ascii="Calibri" w:hAnsi="Calibri"/>
          <w:sz w:val="21"/>
        </w:rPr>
        <w:t xml:space="preserve"> If it is not resolved, the Parties will refer the matter to mediation in Lahore before a mediator agreed between them, or appointed by a recognised mediation body, sharing the cost equally.</w:t>
      </w:r>
    </w:p>
    <w:p>
      <w:r>
        <w:rPr>
          <w:rFonts w:ascii="Calibri" w:hAnsi="Calibri"/>
          <w:b/>
          <w:color w:val="4C1D95"/>
          <w:sz w:val="21"/>
        </w:rPr>
        <w:t>21.4</w:t>
      </w:r>
      <w:r>
        <w:rPr>
          <w:rFonts w:ascii="Calibri" w:hAnsi="Calibri"/>
          <w:sz w:val="21"/>
        </w:rPr>
        <w:t xml:space="preserve"> If mediation fails within 30 days, the dispute is subject to the exclusive jurisdiction of the courts at </w:t>
      </w:r>
      <w:r>
        <w:rPr>
          <w:rFonts w:ascii="Calibri" w:hAnsi="Calibri"/>
          <w:b/>
          <w:color w:val="4C1D95"/>
          <w:sz w:val="21"/>
        </w:rPr>
        <w:t>Lahore, Pakistan</w:t>
      </w:r>
      <w:r>
        <w:rPr>
          <w:rFonts w:ascii="Calibri" w:hAnsi="Calibri"/>
          <w:sz w:val="21"/>
        </w:rPr>
        <w:t>.</w:t>
      </w:r>
    </w:p>
    <w:p>
      <w:r>
        <w:rPr>
          <w:rFonts w:ascii="Calibri" w:hAnsi="Calibri"/>
          <w:b/>
          <w:color w:val="4C1D95"/>
          <w:sz w:val="21"/>
        </w:rPr>
        <w:t>21.5</w:t>
      </w:r>
      <w:r>
        <w:rPr>
          <w:rFonts w:ascii="Calibri" w:hAnsi="Calibri"/>
          <w:sz w:val="21"/>
        </w:rPr>
        <w:t xml:space="preserve"> Nothing in this clause prevents either Party from applying for urgent injunctive relief to protect confidential information.</w:t>
      </w:r>
    </w:p>
    <w:p>
      <w:pPr>
        <w:spacing w:before="40" w:after="120"/>
        <w:pBdr>
          <w:bottom w:val="single" w:sz="8" w:space="4" w:color="E5E1F5"/>
        </w:pBdr>
      </w:pPr>
    </w:p>
    <w:p>
      <w:pPr>
        <w:spacing w:before="320" w:after="80"/>
      </w:pPr>
      <w:r>
        <w:rPr>
          <w:b/>
          <w:color w:val="6D28D9"/>
          <w:sz w:val="30"/>
        </w:rPr>
        <w:t>22. Notices</w:t>
      </w:r>
    </w:p>
    <w:p>
      <w:r>
        <w:rPr>
          <w:rFonts w:ascii="Calibri" w:hAnsi="Calibri"/>
          <w:b/>
          <w:color w:val="4C1D95"/>
          <w:sz w:val="21"/>
        </w:rPr>
        <w:t>22.1</w:t>
      </w:r>
      <w:r>
        <w:rPr>
          <w:rFonts w:ascii="Calibri" w:hAnsi="Calibri"/>
          <w:sz w:val="21"/>
        </w:rPr>
        <w:t xml:space="preserve"> Notices under this Agreement may be given by email to the addresses in this Agreement, or by WhatsApp to the numbers recorded in the Lead Register, and are treated as received on the next business day.</w:t>
      </w:r>
    </w:p>
    <w:p>
      <w:r>
        <w:rPr>
          <w:rFonts w:ascii="Calibri" w:hAnsi="Calibri"/>
          <w:b/>
          <w:color w:val="4C1D95"/>
          <w:sz w:val="21"/>
        </w:rPr>
        <w:t>22.2</w:t>
      </w:r>
      <w:r>
        <w:rPr>
          <w:rFonts w:ascii="Calibri" w:hAnsi="Calibri"/>
          <w:sz w:val="21"/>
        </w:rPr>
        <w:t xml:space="preserve"> The Parties will keep their contact and bank details current and notify each other of any change within 5 business days.</w:t>
      </w:r>
    </w:p>
    <w:p>
      <w:pPr>
        <w:spacing w:before="40" w:after="120"/>
        <w:pBdr>
          <w:bottom w:val="single" w:sz="8" w:space="4" w:color="E5E1F5"/>
        </w:pBdr>
      </w:pPr>
    </w:p>
    <w:p>
      <w:pPr>
        <w:spacing w:before="320" w:after="80"/>
      </w:pPr>
      <w:r>
        <w:rPr>
          <w:b/>
          <w:color w:val="6D28D9"/>
          <w:sz w:val="30"/>
        </w:rPr>
        <w:t>23. General</w:t>
      </w:r>
    </w:p>
    <w:p>
      <w:r>
        <w:rPr>
          <w:rFonts w:ascii="Calibri" w:hAnsi="Calibri"/>
          <w:b/>
          <w:color w:val="4C1D95"/>
          <w:sz w:val="21"/>
        </w:rPr>
        <w:t>23.1</w:t>
      </w:r>
      <w:r>
        <w:rPr>
          <w:rFonts w:ascii="Calibri" w:hAnsi="Calibri"/>
          <w:sz w:val="21"/>
        </w:rPr>
        <w:t xml:space="preserve"> </w:t>
      </w:r>
      <w:r>
        <w:rPr>
          <w:rFonts w:ascii="Calibri" w:hAnsi="Calibri"/>
          <w:b/>
          <w:color w:val="4C1D95"/>
          <w:sz w:val="21"/>
        </w:rPr>
        <w:t>Entire agreement.</w:t>
      </w:r>
      <w:r>
        <w:rPr>
          <w:rFonts w:ascii="Calibri" w:hAnsi="Calibri"/>
          <w:sz w:val="21"/>
        </w:rPr>
        <w:t xml:space="preserve"> This Agreement, together with its Schedules, is the entire agreement between the Parties on its subject matter and replaces all prior discussions.</w:t>
      </w:r>
    </w:p>
    <w:p>
      <w:r>
        <w:rPr>
          <w:rFonts w:ascii="Calibri" w:hAnsi="Calibri"/>
          <w:b/>
          <w:color w:val="4C1D95"/>
          <w:sz w:val="21"/>
        </w:rPr>
        <w:t>23.2</w:t>
      </w:r>
      <w:r>
        <w:rPr>
          <w:rFonts w:ascii="Calibri" w:hAnsi="Calibri"/>
          <w:sz w:val="21"/>
        </w:rPr>
        <w:t xml:space="preserve"> </w:t>
      </w:r>
      <w:r>
        <w:rPr>
          <w:rFonts w:ascii="Calibri" w:hAnsi="Calibri"/>
          <w:b/>
          <w:color w:val="4C1D95"/>
          <w:sz w:val="21"/>
        </w:rPr>
        <w:t>Amendment.</w:t>
      </w:r>
      <w:r>
        <w:rPr>
          <w:rFonts w:ascii="Calibri" w:hAnsi="Calibri"/>
          <w:sz w:val="21"/>
        </w:rPr>
        <w:t xml:space="preserve"> No amendment is effective unless in writing and signed (or confirmed by email) by both Parties.</w:t>
      </w:r>
    </w:p>
    <w:p>
      <w:r>
        <w:rPr>
          <w:rFonts w:ascii="Calibri" w:hAnsi="Calibri"/>
          <w:b/>
          <w:color w:val="4C1D95"/>
          <w:sz w:val="21"/>
        </w:rPr>
        <w:t>23.3</w:t>
      </w:r>
      <w:r>
        <w:rPr>
          <w:rFonts w:ascii="Calibri" w:hAnsi="Calibri"/>
          <w:sz w:val="21"/>
        </w:rPr>
        <w:t xml:space="preserve"> </w:t>
      </w:r>
      <w:r>
        <w:rPr>
          <w:rFonts w:ascii="Calibri" w:hAnsi="Calibri"/>
          <w:b/>
          <w:color w:val="4C1D95"/>
          <w:sz w:val="21"/>
        </w:rPr>
        <w:t>No waiver.</w:t>
      </w:r>
      <w:r>
        <w:rPr>
          <w:rFonts w:ascii="Calibri" w:hAnsi="Calibri"/>
          <w:sz w:val="21"/>
        </w:rPr>
        <w:t xml:space="preserve"> A failure or delay in enforcing a right is not a waiver of it.</w:t>
      </w:r>
    </w:p>
    <w:p>
      <w:r>
        <w:rPr>
          <w:rFonts w:ascii="Calibri" w:hAnsi="Calibri"/>
          <w:b/>
          <w:color w:val="4C1D95"/>
          <w:sz w:val="21"/>
        </w:rPr>
        <w:t>23.4</w:t>
      </w:r>
      <w:r>
        <w:rPr>
          <w:rFonts w:ascii="Calibri" w:hAnsi="Calibri"/>
          <w:sz w:val="21"/>
        </w:rPr>
        <w:t xml:space="preserve"> </w:t>
      </w:r>
      <w:r>
        <w:rPr>
          <w:rFonts w:ascii="Calibri" w:hAnsi="Calibri"/>
          <w:b/>
          <w:color w:val="4C1D95"/>
          <w:sz w:val="21"/>
        </w:rPr>
        <w:t>Assignment.</w:t>
      </w:r>
      <w:r>
        <w:rPr>
          <w:rFonts w:ascii="Calibri" w:hAnsi="Calibri"/>
          <w:sz w:val="21"/>
        </w:rPr>
        <w:t xml:space="preserve"> The Sales Partner may not assign this Agreement without Devzard's written consent. Devzard may assign it to a successor in title of its business.</w:t>
      </w:r>
    </w:p>
    <w:p>
      <w:r>
        <w:rPr>
          <w:rFonts w:ascii="Calibri" w:hAnsi="Calibri"/>
          <w:b/>
          <w:color w:val="4C1D95"/>
          <w:sz w:val="21"/>
        </w:rPr>
        <w:t>23.5</w:t>
      </w:r>
      <w:r>
        <w:rPr>
          <w:rFonts w:ascii="Calibri" w:hAnsi="Calibri"/>
          <w:sz w:val="21"/>
        </w:rPr>
        <w:t xml:space="preserve"> </w:t>
      </w:r>
      <w:r>
        <w:rPr>
          <w:rFonts w:ascii="Calibri" w:hAnsi="Calibri"/>
          <w:b/>
          <w:color w:val="4C1D95"/>
          <w:sz w:val="21"/>
        </w:rPr>
        <w:t>Severability.</w:t>
      </w:r>
      <w:r>
        <w:rPr>
          <w:rFonts w:ascii="Calibri" w:hAnsi="Calibri"/>
          <w:sz w:val="21"/>
        </w:rPr>
        <w:t xml:space="preserve"> If a provision is found unenforceable, the rest of the Agreement continues in force.</w:t>
      </w:r>
    </w:p>
    <w:p>
      <w:r>
        <w:rPr>
          <w:rFonts w:ascii="Calibri" w:hAnsi="Calibri"/>
          <w:b/>
          <w:color w:val="4C1D95"/>
          <w:sz w:val="21"/>
        </w:rPr>
        <w:t>23.6</w:t>
      </w:r>
      <w:r>
        <w:rPr>
          <w:rFonts w:ascii="Calibri" w:hAnsi="Calibri"/>
          <w:sz w:val="21"/>
        </w:rPr>
        <w:t xml:space="preserve"> </w:t>
      </w:r>
      <w:r>
        <w:rPr>
          <w:rFonts w:ascii="Calibri" w:hAnsi="Calibri"/>
          <w:b/>
          <w:color w:val="4C1D95"/>
          <w:sz w:val="21"/>
        </w:rPr>
        <w:t>Counterparts and e-signature.</w:t>
      </w:r>
      <w:r>
        <w:rPr>
          <w:rFonts w:ascii="Calibri" w:hAnsi="Calibri"/>
          <w:sz w:val="21"/>
        </w:rPr>
        <w:t xml:space="preserve"> This Agreement may be signed in counterparts, and electronic or scanned signatures are valid and binding.</w:t>
      </w:r>
    </w:p>
    <w:p>
      <w:pPr>
        <w:spacing w:before="40" w:after="120"/>
        <w:pBdr>
          <w:bottom w:val="single" w:sz="8" w:space="4" w:color="E5E1F5"/>
        </w:pBdr>
      </w:pPr>
    </w:p>
    <w:p>
      <w:r>
        <w:br w:type="page"/>
      </w:r>
    </w:p>
    <w:p>
      <w:pPr>
        <w:spacing w:before="320" w:after="80"/>
        <w:pBdr>
          <w:bottom w:val="single" w:sz="14" w:space="4" w:color="EC4899"/>
        </w:pBdr>
      </w:pPr>
      <w:r>
        <w:rPr>
          <w:b/>
          <w:color w:val="4C1D95"/>
          <w:sz w:val="44"/>
        </w:rPr>
        <w:t>Schedule A — Services and indicative pricing</w:t>
      </w:r>
    </w:p>
    <w:tbl>
      <w:tblPr>
        <w:tblStyle w:val="TableGrid"/>
        <w:tblW w:type="auto" w:w="0"/>
        <w:jc w:val="center"/>
        <w:tblLook w:firstColumn="1" w:firstRow="1" w:lastColumn="0" w:lastRow="0" w:noHBand="0" w:noVBand="1" w:val="04A0"/>
      </w:tblPr>
      <w:tblGrid>
        <w:gridCol w:w="3264"/>
        <w:gridCol w:w="3264"/>
        <w:gridCol w:w="3264"/>
      </w:tblGrid>
      <w:tr>
        <w:tc>
          <w:tcPr>
            <w:tcW w:type="dxa" w:w="3264"/>
            <w:shd w:val="clear" w:color="auto" w:fill="4C1D95"/>
            <w:tcMar>
              <w:top w:w="60" w:type="dxa"/>
              <w:start w:w="100" w:type="dxa"/>
              <w:bottom w:w="60" w:type="dxa"/>
              <w:end w:w="100" w:type="dxa"/>
            </w:tcMar>
          </w:tcPr>
          <w:p>
            <w:pPr>
              <w:spacing w:after="0"/>
            </w:pPr>
            <w:r/>
            <w:r>
              <w:rPr>
                <w:b/>
                <w:color w:val="FFFFFF"/>
                <w:sz w:val="19"/>
              </w:rPr>
              <w:t>Service</w:t>
            </w:r>
          </w:p>
        </w:tc>
        <w:tc>
          <w:tcPr>
            <w:tcW w:type="dxa" w:w="3264"/>
            <w:shd w:val="clear" w:color="auto" w:fill="4C1D95"/>
            <w:tcMar>
              <w:top w:w="60" w:type="dxa"/>
              <w:start w:w="100" w:type="dxa"/>
              <w:bottom w:w="60" w:type="dxa"/>
              <w:end w:w="100" w:type="dxa"/>
            </w:tcMar>
          </w:tcPr>
          <w:p>
            <w:pPr>
              <w:spacing w:after="0"/>
            </w:pPr>
            <w:r/>
            <w:r>
              <w:rPr>
                <w:b/>
                <w:color w:val="FFFFFF"/>
                <w:sz w:val="19"/>
              </w:rPr>
              <w:t>Typical project size (PKR)</w:t>
            </w:r>
          </w:p>
        </w:tc>
        <w:tc>
          <w:tcPr>
            <w:tcW w:type="dxa" w:w="3264"/>
            <w:shd w:val="clear" w:color="auto" w:fill="4C1D95"/>
            <w:tcMar>
              <w:top w:w="60" w:type="dxa"/>
              <w:start w:w="100" w:type="dxa"/>
              <w:bottom w:w="60" w:type="dxa"/>
              <w:end w:w="100" w:type="dxa"/>
            </w:tcMar>
          </w:tcPr>
          <w:p>
            <w:pPr>
              <w:spacing w:after="0"/>
            </w:pPr>
            <w:r/>
            <w:r>
              <w:rPr>
                <w:b/>
                <w:color w:val="FFFFFF"/>
                <w:sz w:val="19"/>
              </w:rPr>
              <w:t>Typical delivery</w:t>
            </w:r>
          </w:p>
        </w:tc>
      </w:tr>
      <w:tr>
        <w:tc>
          <w:tcPr>
            <w:tcW w:type="dxa" w:w="3264"/>
            <w:tcMar>
              <w:top w:w="60" w:type="dxa"/>
              <w:start w:w="100" w:type="dxa"/>
              <w:bottom w:w="60" w:type="dxa"/>
              <w:end w:w="100" w:type="dxa"/>
            </w:tcMar>
          </w:tcPr>
          <w:p>
            <w:pPr>
              <w:spacing w:after="0"/>
            </w:pPr>
            <w:r/>
            <w:r>
              <w:rPr>
                <w:rFonts w:ascii="Calibri" w:hAnsi="Calibri"/>
                <w:sz w:val="19"/>
              </w:rPr>
              <w:t>One-page / landing page</w:t>
            </w:r>
          </w:p>
        </w:tc>
        <w:tc>
          <w:tcPr>
            <w:tcW w:type="dxa" w:w="3264"/>
            <w:tcMar>
              <w:top w:w="60" w:type="dxa"/>
              <w:start w:w="100" w:type="dxa"/>
              <w:bottom w:w="60" w:type="dxa"/>
              <w:end w:w="100" w:type="dxa"/>
            </w:tcMar>
          </w:tcPr>
          <w:p>
            <w:pPr>
              <w:spacing w:after="0"/>
            </w:pPr>
            <w:r/>
            <w:r>
              <w:rPr>
                <w:rFonts w:ascii="Calibri" w:hAnsi="Calibri"/>
                <w:sz w:val="19"/>
              </w:rPr>
              <w:t>25,000 – 60,000</w:t>
            </w:r>
          </w:p>
        </w:tc>
        <w:tc>
          <w:tcPr>
            <w:tcW w:type="dxa" w:w="3264"/>
            <w:tcMar>
              <w:top w:w="60" w:type="dxa"/>
              <w:start w:w="100" w:type="dxa"/>
              <w:bottom w:w="60" w:type="dxa"/>
              <w:end w:w="100" w:type="dxa"/>
            </w:tcMar>
          </w:tcPr>
          <w:p>
            <w:pPr>
              <w:spacing w:after="0"/>
            </w:pPr>
            <w:r/>
            <w:r>
              <w:rPr>
                <w:rFonts w:ascii="Calibri" w:hAnsi="Calibri"/>
                <w:sz w:val="19"/>
              </w:rPr>
              <w:t>1 – 2 weeks</w:t>
            </w:r>
          </w:p>
        </w:tc>
      </w:tr>
      <w:tr>
        <w:tc>
          <w:tcPr>
            <w:tcW w:type="dxa" w:w="3264"/>
            <w:shd w:val="clear" w:color="auto" w:fill="F5F3FF"/>
            <w:tcMar>
              <w:top w:w="60" w:type="dxa"/>
              <w:start w:w="100" w:type="dxa"/>
              <w:bottom w:w="60" w:type="dxa"/>
              <w:end w:w="100" w:type="dxa"/>
            </w:tcMar>
          </w:tcPr>
          <w:p>
            <w:pPr>
              <w:spacing w:after="0"/>
            </w:pPr>
            <w:r/>
            <w:r>
              <w:rPr>
                <w:rFonts w:ascii="Calibri" w:hAnsi="Calibri"/>
                <w:sz w:val="19"/>
              </w:rPr>
              <w:t>Business website (5–8 pages)</w:t>
            </w:r>
          </w:p>
        </w:tc>
        <w:tc>
          <w:tcPr>
            <w:tcW w:type="dxa" w:w="3264"/>
            <w:shd w:val="clear" w:color="auto" w:fill="F5F3FF"/>
            <w:tcMar>
              <w:top w:w="60" w:type="dxa"/>
              <w:start w:w="100" w:type="dxa"/>
              <w:bottom w:w="60" w:type="dxa"/>
              <w:end w:w="100" w:type="dxa"/>
            </w:tcMar>
          </w:tcPr>
          <w:p>
            <w:pPr>
              <w:spacing w:after="0"/>
            </w:pPr>
            <w:r/>
            <w:r>
              <w:rPr>
                <w:rFonts w:ascii="Calibri" w:hAnsi="Calibri"/>
                <w:sz w:val="19"/>
              </w:rPr>
              <w:t>60,000 – 150,000</w:t>
            </w:r>
          </w:p>
        </w:tc>
        <w:tc>
          <w:tcPr>
            <w:tcW w:type="dxa" w:w="3264"/>
            <w:shd w:val="clear" w:color="auto" w:fill="F5F3FF"/>
            <w:tcMar>
              <w:top w:w="60" w:type="dxa"/>
              <w:start w:w="100" w:type="dxa"/>
              <w:bottom w:w="60" w:type="dxa"/>
              <w:end w:w="100" w:type="dxa"/>
            </w:tcMar>
          </w:tcPr>
          <w:p>
            <w:pPr>
              <w:spacing w:after="0"/>
            </w:pPr>
            <w:r/>
            <w:r>
              <w:rPr>
                <w:rFonts w:ascii="Calibri" w:hAnsi="Calibri"/>
                <w:sz w:val="19"/>
              </w:rPr>
              <w:t>2 – 4 weeks</w:t>
            </w:r>
          </w:p>
        </w:tc>
      </w:tr>
      <w:tr>
        <w:tc>
          <w:tcPr>
            <w:tcW w:type="dxa" w:w="3264"/>
            <w:tcMar>
              <w:top w:w="60" w:type="dxa"/>
              <w:start w:w="100" w:type="dxa"/>
              <w:bottom w:w="60" w:type="dxa"/>
              <w:end w:w="100" w:type="dxa"/>
            </w:tcMar>
          </w:tcPr>
          <w:p>
            <w:pPr>
              <w:spacing w:after="0"/>
            </w:pPr>
            <w:r/>
            <w:r>
              <w:rPr>
                <w:rFonts w:ascii="Calibri" w:hAnsi="Calibri"/>
                <w:sz w:val="19"/>
              </w:rPr>
              <w:t>E-commerce store (WooCommerce / Shopify)</w:t>
            </w:r>
          </w:p>
        </w:tc>
        <w:tc>
          <w:tcPr>
            <w:tcW w:type="dxa" w:w="3264"/>
            <w:tcMar>
              <w:top w:w="60" w:type="dxa"/>
              <w:start w:w="100" w:type="dxa"/>
              <w:bottom w:w="60" w:type="dxa"/>
              <w:end w:w="100" w:type="dxa"/>
            </w:tcMar>
          </w:tcPr>
          <w:p>
            <w:pPr>
              <w:spacing w:after="0"/>
            </w:pPr>
            <w:r/>
            <w:r>
              <w:rPr>
                <w:rFonts w:ascii="Calibri" w:hAnsi="Calibri"/>
                <w:sz w:val="19"/>
              </w:rPr>
              <w:t>120,000 – 350,000</w:t>
            </w:r>
          </w:p>
        </w:tc>
        <w:tc>
          <w:tcPr>
            <w:tcW w:type="dxa" w:w="3264"/>
            <w:tcMar>
              <w:top w:w="60" w:type="dxa"/>
              <w:start w:w="100" w:type="dxa"/>
              <w:bottom w:w="60" w:type="dxa"/>
              <w:end w:w="100" w:type="dxa"/>
            </w:tcMar>
          </w:tcPr>
          <w:p>
            <w:pPr>
              <w:spacing w:after="0"/>
            </w:pPr>
            <w:r/>
            <w:r>
              <w:rPr>
                <w:rFonts w:ascii="Calibri" w:hAnsi="Calibri"/>
                <w:sz w:val="19"/>
              </w:rPr>
              <w:t>3 – 6 weeks</w:t>
            </w:r>
          </w:p>
        </w:tc>
      </w:tr>
      <w:tr>
        <w:tc>
          <w:tcPr>
            <w:tcW w:type="dxa" w:w="3264"/>
            <w:shd w:val="clear" w:color="auto" w:fill="F5F3FF"/>
            <w:tcMar>
              <w:top w:w="60" w:type="dxa"/>
              <w:start w:w="100" w:type="dxa"/>
              <w:bottom w:w="60" w:type="dxa"/>
              <w:end w:w="100" w:type="dxa"/>
            </w:tcMar>
          </w:tcPr>
          <w:p>
            <w:pPr>
              <w:spacing w:after="0"/>
            </w:pPr>
            <w:r/>
            <w:r>
              <w:rPr>
                <w:rFonts w:ascii="Calibri" w:hAnsi="Calibri"/>
                <w:sz w:val="19"/>
              </w:rPr>
              <w:t>Custom web app / dashboard / portal</w:t>
            </w:r>
          </w:p>
        </w:tc>
        <w:tc>
          <w:tcPr>
            <w:tcW w:type="dxa" w:w="3264"/>
            <w:shd w:val="clear" w:color="auto" w:fill="F5F3FF"/>
            <w:tcMar>
              <w:top w:w="60" w:type="dxa"/>
              <w:start w:w="100" w:type="dxa"/>
              <w:bottom w:w="60" w:type="dxa"/>
              <w:end w:w="100" w:type="dxa"/>
            </w:tcMar>
          </w:tcPr>
          <w:p>
            <w:pPr>
              <w:spacing w:after="0"/>
            </w:pPr>
            <w:r/>
            <w:r>
              <w:rPr>
                <w:rFonts w:ascii="Calibri" w:hAnsi="Calibri"/>
                <w:sz w:val="19"/>
              </w:rPr>
              <w:t>250,000 – 900,000+</w:t>
            </w:r>
          </w:p>
        </w:tc>
        <w:tc>
          <w:tcPr>
            <w:tcW w:type="dxa" w:w="3264"/>
            <w:shd w:val="clear" w:color="auto" w:fill="F5F3FF"/>
            <w:tcMar>
              <w:top w:w="60" w:type="dxa"/>
              <w:start w:w="100" w:type="dxa"/>
              <w:bottom w:w="60" w:type="dxa"/>
              <w:end w:w="100" w:type="dxa"/>
            </w:tcMar>
          </w:tcPr>
          <w:p>
            <w:pPr>
              <w:spacing w:after="0"/>
            </w:pPr>
            <w:r/>
            <w:r>
              <w:rPr>
                <w:rFonts w:ascii="Calibri" w:hAnsi="Calibri"/>
                <w:sz w:val="19"/>
              </w:rPr>
              <w:t>6 – 16 weeks</w:t>
            </w:r>
          </w:p>
        </w:tc>
      </w:tr>
      <w:tr>
        <w:tc>
          <w:tcPr>
            <w:tcW w:type="dxa" w:w="3264"/>
            <w:tcMar>
              <w:top w:w="60" w:type="dxa"/>
              <w:start w:w="100" w:type="dxa"/>
              <w:bottom w:w="60" w:type="dxa"/>
              <w:end w:w="100" w:type="dxa"/>
            </w:tcMar>
          </w:tcPr>
          <w:p>
            <w:pPr>
              <w:spacing w:after="0"/>
            </w:pPr>
            <w:r/>
            <w:r>
              <w:rPr>
                <w:rFonts w:ascii="Calibri" w:hAnsi="Calibri"/>
                <w:sz w:val="19"/>
              </w:rPr>
              <w:t>Mobile app (Android + iOS)</w:t>
            </w:r>
          </w:p>
        </w:tc>
        <w:tc>
          <w:tcPr>
            <w:tcW w:type="dxa" w:w="3264"/>
            <w:tcMar>
              <w:top w:w="60" w:type="dxa"/>
              <w:start w:w="100" w:type="dxa"/>
              <w:bottom w:w="60" w:type="dxa"/>
              <w:end w:w="100" w:type="dxa"/>
            </w:tcMar>
          </w:tcPr>
          <w:p>
            <w:pPr>
              <w:spacing w:after="0"/>
            </w:pPr>
            <w:r/>
            <w:r>
              <w:rPr>
                <w:rFonts w:ascii="Calibri" w:hAnsi="Calibri"/>
                <w:sz w:val="19"/>
              </w:rPr>
              <w:t>400,000 – 1,500,000+</w:t>
            </w:r>
          </w:p>
        </w:tc>
        <w:tc>
          <w:tcPr>
            <w:tcW w:type="dxa" w:w="3264"/>
            <w:tcMar>
              <w:top w:w="60" w:type="dxa"/>
              <w:start w:w="100" w:type="dxa"/>
              <w:bottom w:w="60" w:type="dxa"/>
              <w:end w:w="100" w:type="dxa"/>
            </w:tcMar>
          </w:tcPr>
          <w:p>
            <w:pPr>
              <w:spacing w:after="0"/>
            </w:pPr>
            <w:r/>
            <w:r>
              <w:rPr>
                <w:rFonts w:ascii="Calibri" w:hAnsi="Calibri"/>
                <w:sz w:val="19"/>
              </w:rPr>
              <w:t>8 – 20 weeks</w:t>
            </w:r>
          </w:p>
        </w:tc>
      </w:tr>
      <w:tr>
        <w:tc>
          <w:tcPr>
            <w:tcW w:type="dxa" w:w="3264"/>
            <w:shd w:val="clear" w:color="auto" w:fill="F5F3FF"/>
            <w:tcMar>
              <w:top w:w="60" w:type="dxa"/>
              <w:start w:w="100" w:type="dxa"/>
              <w:bottom w:w="60" w:type="dxa"/>
              <w:end w:w="100" w:type="dxa"/>
            </w:tcMar>
          </w:tcPr>
          <w:p>
            <w:pPr>
              <w:spacing w:after="0"/>
            </w:pPr>
            <w:r/>
            <w:r>
              <w:rPr>
                <w:rFonts w:ascii="Calibri" w:hAnsi="Calibri"/>
                <w:sz w:val="19"/>
              </w:rPr>
              <w:t>UI / UX design package</w:t>
            </w:r>
          </w:p>
        </w:tc>
        <w:tc>
          <w:tcPr>
            <w:tcW w:type="dxa" w:w="3264"/>
            <w:shd w:val="clear" w:color="auto" w:fill="F5F3FF"/>
            <w:tcMar>
              <w:top w:w="60" w:type="dxa"/>
              <w:start w:w="100" w:type="dxa"/>
              <w:bottom w:w="60" w:type="dxa"/>
              <w:end w:w="100" w:type="dxa"/>
            </w:tcMar>
          </w:tcPr>
          <w:p>
            <w:pPr>
              <w:spacing w:after="0"/>
            </w:pPr>
            <w:r/>
            <w:r>
              <w:rPr>
                <w:rFonts w:ascii="Calibri" w:hAnsi="Calibri"/>
                <w:sz w:val="19"/>
              </w:rPr>
              <w:t>40,000 – 150,000</w:t>
            </w:r>
          </w:p>
        </w:tc>
        <w:tc>
          <w:tcPr>
            <w:tcW w:type="dxa" w:w="3264"/>
            <w:shd w:val="clear" w:color="auto" w:fill="F5F3FF"/>
            <w:tcMar>
              <w:top w:w="60" w:type="dxa"/>
              <w:start w:w="100" w:type="dxa"/>
              <w:bottom w:w="60" w:type="dxa"/>
              <w:end w:w="100" w:type="dxa"/>
            </w:tcMar>
          </w:tcPr>
          <w:p>
            <w:pPr>
              <w:spacing w:after="0"/>
            </w:pPr>
            <w:r/>
            <w:r>
              <w:rPr>
                <w:rFonts w:ascii="Calibri" w:hAnsi="Calibri"/>
                <w:sz w:val="19"/>
              </w:rPr>
              <w:t>2 – 4 weeks</w:t>
            </w:r>
          </w:p>
        </w:tc>
      </w:tr>
      <w:tr>
        <w:tc>
          <w:tcPr>
            <w:tcW w:type="dxa" w:w="3264"/>
            <w:tcMar>
              <w:top w:w="60" w:type="dxa"/>
              <w:start w:w="100" w:type="dxa"/>
              <w:bottom w:w="60" w:type="dxa"/>
              <w:end w:w="100" w:type="dxa"/>
            </w:tcMar>
          </w:tcPr>
          <w:p>
            <w:pPr>
              <w:spacing w:after="0"/>
            </w:pPr>
            <w:r/>
            <w:r>
              <w:rPr>
                <w:rFonts w:ascii="Calibri" w:hAnsi="Calibri"/>
                <w:sz w:val="19"/>
              </w:rPr>
              <w:t>Branding, logo and identity</w:t>
            </w:r>
          </w:p>
        </w:tc>
        <w:tc>
          <w:tcPr>
            <w:tcW w:type="dxa" w:w="3264"/>
            <w:tcMar>
              <w:top w:w="60" w:type="dxa"/>
              <w:start w:w="100" w:type="dxa"/>
              <w:bottom w:w="60" w:type="dxa"/>
              <w:end w:w="100" w:type="dxa"/>
            </w:tcMar>
          </w:tcPr>
          <w:p>
            <w:pPr>
              <w:spacing w:after="0"/>
            </w:pPr>
            <w:r/>
            <w:r>
              <w:rPr>
                <w:rFonts w:ascii="Calibri" w:hAnsi="Calibri"/>
                <w:sz w:val="19"/>
              </w:rPr>
              <w:t>20,000 – 80,000</w:t>
            </w:r>
          </w:p>
        </w:tc>
        <w:tc>
          <w:tcPr>
            <w:tcW w:type="dxa" w:w="3264"/>
            <w:tcMar>
              <w:top w:w="60" w:type="dxa"/>
              <w:start w:w="100" w:type="dxa"/>
              <w:bottom w:w="60" w:type="dxa"/>
              <w:end w:w="100" w:type="dxa"/>
            </w:tcMar>
          </w:tcPr>
          <w:p>
            <w:pPr>
              <w:spacing w:after="0"/>
            </w:pPr>
            <w:r/>
            <w:r>
              <w:rPr>
                <w:rFonts w:ascii="Calibri" w:hAnsi="Calibri"/>
                <w:sz w:val="19"/>
              </w:rPr>
              <w:t>1 – 3 weeks</w:t>
            </w:r>
          </w:p>
        </w:tc>
      </w:tr>
      <w:tr>
        <w:tc>
          <w:tcPr>
            <w:tcW w:type="dxa" w:w="3264"/>
            <w:shd w:val="clear" w:color="auto" w:fill="F5F3FF"/>
            <w:tcMar>
              <w:top w:w="60" w:type="dxa"/>
              <w:start w:w="100" w:type="dxa"/>
              <w:bottom w:w="60" w:type="dxa"/>
              <w:end w:w="100" w:type="dxa"/>
            </w:tcMar>
          </w:tcPr>
          <w:p>
            <w:pPr>
              <w:spacing w:after="0"/>
            </w:pPr>
            <w:r/>
            <w:r>
              <w:rPr>
                <w:rFonts w:ascii="Calibri" w:hAnsi="Calibri"/>
                <w:sz w:val="19"/>
              </w:rPr>
              <w:t>SEO / digital marketing retainer</w:t>
            </w:r>
          </w:p>
        </w:tc>
        <w:tc>
          <w:tcPr>
            <w:tcW w:type="dxa" w:w="3264"/>
            <w:shd w:val="clear" w:color="auto" w:fill="F5F3FF"/>
            <w:tcMar>
              <w:top w:w="60" w:type="dxa"/>
              <w:start w:w="100" w:type="dxa"/>
              <w:bottom w:w="60" w:type="dxa"/>
              <w:end w:w="100" w:type="dxa"/>
            </w:tcMar>
          </w:tcPr>
          <w:p>
            <w:pPr>
              <w:spacing w:after="0"/>
            </w:pPr>
            <w:r/>
            <w:r>
              <w:rPr>
                <w:rFonts w:ascii="Calibri" w:hAnsi="Calibri"/>
                <w:sz w:val="19"/>
              </w:rPr>
              <w:t>30,000 – 100,000 / month</w:t>
            </w:r>
          </w:p>
        </w:tc>
        <w:tc>
          <w:tcPr>
            <w:tcW w:type="dxa" w:w="3264"/>
            <w:shd w:val="clear" w:color="auto" w:fill="F5F3FF"/>
            <w:tcMar>
              <w:top w:w="60" w:type="dxa"/>
              <w:start w:w="100" w:type="dxa"/>
              <w:bottom w:w="60" w:type="dxa"/>
              <w:end w:w="100" w:type="dxa"/>
            </w:tcMar>
          </w:tcPr>
          <w:p>
            <w:pPr>
              <w:spacing w:after="0"/>
            </w:pPr>
            <w:r/>
            <w:r>
              <w:rPr>
                <w:rFonts w:ascii="Calibri" w:hAnsi="Calibri"/>
                <w:sz w:val="19"/>
              </w:rPr>
              <w:t>Ongoing</w:t>
            </w:r>
          </w:p>
        </w:tc>
      </w:tr>
      <w:tr>
        <w:tc>
          <w:tcPr>
            <w:tcW w:type="dxa" w:w="3264"/>
            <w:tcMar>
              <w:top w:w="60" w:type="dxa"/>
              <w:start w:w="100" w:type="dxa"/>
              <w:bottom w:w="60" w:type="dxa"/>
              <w:end w:w="100" w:type="dxa"/>
            </w:tcMar>
          </w:tcPr>
          <w:p>
            <w:pPr>
              <w:spacing w:after="0"/>
            </w:pPr>
            <w:r/>
            <w:r>
              <w:rPr>
                <w:rFonts w:ascii="Calibri" w:hAnsi="Calibri"/>
                <w:sz w:val="19"/>
              </w:rPr>
              <w:t>Website maintenance and support retainer</w:t>
            </w:r>
          </w:p>
        </w:tc>
        <w:tc>
          <w:tcPr>
            <w:tcW w:type="dxa" w:w="3264"/>
            <w:tcMar>
              <w:top w:w="60" w:type="dxa"/>
              <w:start w:w="100" w:type="dxa"/>
              <w:bottom w:w="60" w:type="dxa"/>
              <w:end w:w="100" w:type="dxa"/>
            </w:tcMar>
          </w:tcPr>
          <w:p>
            <w:pPr>
              <w:spacing w:after="0"/>
            </w:pPr>
            <w:r/>
            <w:r>
              <w:rPr>
                <w:rFonts w:ascii="Calibri" w:hAnsi="Calibri"/>
                <w:sz w:val="19"/>
              </w:rPr>
              <w:t>10,000 – 40,000 / month</w:t>
            </w:r>
          </w:p>
        </w:tc>
        <w:tc>
          <w:tcPr>
            <w:tcW w:type="dxa" w:w="3264"/>
            <w:tcMar>
              <w:top w:w="60" w:type="dxa"/>
              <w:start w:w="100" w:type="dxa"/>
              <w:bottom w:w="60" w:type="dxa"/>
              <w:end w:w="100" w:type="dxa"/>
            </w:tcMar>
          </w:tcPr>
          <w:p>
            <w:pPr>
              <w:spacing w:after="0"/>
            </w:pPr>
            <w:r/>
            <w:r>
              <w:rPr>
                <w:rFonts w:ascii="Calibri" w:hAnsi="Calibri"/>
                <w:sz w:val="19"/>
              </w:rPr>
              <w:t>Ongoing</w:t>
            </w:r>
          </w:p>
        </w:tc>
      </w:tr>
      <w:tr>
        <w:tc>
          <w:tcPr>
            <w:tcW w:type="dxa" w:w="3264"/>
            <w:shd w:val="clear" w:color="auto" w:fill="F5F3FF"/>
            <w:tcMar>
              <w:top w:w="60" w:type="dxa"/>
              <w:start w:w="100" w:type="dxa"/>
              <w:bottom w:w="60" w:type="dxa"/>
              <w:end w:w="100" w:type="dxa"/>
            </w:tcMar>
          </w:tcPr>
          <w:p>
            <w:pPr>
              <w:spacing w:after="0"/>
            </w:pPr>
            <w:r/>
            <w:r>
              <w:rPr>
                <w:rFonts w:ascii="Calibri" w:hAnsi="Calibri"/>
                <w:sz w:val="19"/>
              </w:rPr>
              <w:t>AI automation, chatbot, CRM integration</w:t>
            </w:r>
          </w:p>
        </w:tc>
        <w:tc>
          <w:tcPr>
            <w:tcW w:type="dxa" w:w="3264"/>
            <w:shd w:val="clear" w:color="auto" w:fill="F5F3FF"/>
            <w:tcMar>
              <w:top w:w="60" w:type="dxa"/>
              <w:start w:w="100" w:type="dxa"/>
              <w:bottom w:w="60" w:type="dxa"/>
              <w:end w:w="100" w:type="dxa"/>
            </w:tcMar>
          </w:tcPr>
          <w:p>
            <w:pPr>
              <w:spacing w:after="0"/>
            </w:pPr>
            <w:r/>
            <w:r>
              <w:rPr>
                <w:rFonts w:ascii="Calibri" w:hAnsi="Calibri"/>
                <w:sz w:val="19"/>
              </w:rPr>
              <w:t>80,000 – 300,000</w:t>
            </w:r>
          </w:p>
        </w:tc>
        <w:tc>
          <w:tcPr>
            <w:tcW w:type="dxa" w:w="3264"/>
            <w:shd w:val="clear" w:color="auto" w:fill="F5F3FF"/>
            <w:tcMar>
              <w:top w:w="60" w:type="dxa"/>
              <w:start w:w="100" w:type="dxa"/>
              <w:bottom w:w="60" w:type="dxa"/>
              <w:end w:w="100" w:type="dxa"/>
            </w:tcMar>
          </w:tcPr>
          <w:p>
            <w:pPr>
              <w:spacing w:after="0"/>
            </w:pPr>
            <w:r/>
            <w:r>
              <w:rPr>
                <w:rFonts w:ascii="Calibri" w:hAnsi="Calibri"/>
                <w:sz w:val="19"/>
              </w:rPr>
              <w:t>3 – 8 weeks</w:t>
            </w:r>
          </w:p>
        </w:tc>
      </w:tr>
    </w:tbl>
    <w:p>
      <w:pPr>
        <w:spacing w:after="40"/>
      </w:pPr>
    </w:p>
    <w:p>
      <w:r>
        <w:rPr>
          <w:rFonts w:ascii="Calibri" w:hAnsi="Calibri"/>
          <w:b/>
          <w:color w:val="4C1D95"/>
          <w:sz w:val="21"/>
        </w:rPr>
        <w:t>Indicative only.</w:t>
      </w:r>
      <w:r>
        <w:rPr>
          <w:rFonts w:ascii="Calibri" w:hAnsi="Calibri"/>
          <w:sz w:val="21"/>
        </w:rPr>
        <w:t xml:space="preserve"> The price for any Project is set by Devzard in the Client contract. The Sales Partner must not quote a price without written confirmation from Devzard.</w:t>
      </w:r>
    </w:p>
    <w:p>
      <w:pPr>
        <w:spacing w:before="40" w:after="120"/>
        <w:pBdr>
          <w:bottom w:val="single" w:sz="8" w:space="4" w:color="E5E1F5"/>
        </w:pBdr>
      </w:pPr>
    </w:p>
    <w:p>
      <w:r>
        <w:br w:type="page"/>
      </w:r>
    </w:p>
    <w:p>
      <w:pPr>
        <w:spacing w:before="320" w:after="80"/>
        <w:pBdr>
          <w:bottom w:val="single" w:sz="14" w:space="4" w:color="EC4899"/>
        </w:pBdr>
      </w:pPr>
      <w:r>
        <w:rPr>
          <w:b/>
          <w:color w:val="4C1D95"/>
          <w:sz w:val="44"/>
        </w:rPr>
        <w:t>Schedule B — Commission calculation</w:t>
      </w:r>
    </w:p>
    <w:tbl>
      <w:tblPr>
        <w:tblW w:type="auto" w:w="0"/>
        <w:tblLook w:firstColumn="1" w:firstRow="1" w:lastColumn="0" w:lastRow="0" w:noHBand="0" w:noVBand="1" w:val="04A0"/>
      </w:tblPr>
      <w:tblGrid>
        <w:gridCol w:w="9792"/>
      </w:tblGrid>
      <w:tr>
        <w:tc>
          <w:tcPr>
            <w:tcW w:type="dxa" w:w="9792"/>
            <w:shd w:val="clear" w:color="auto" w:fill="0F172A"/>
            <w:tcMar>
              <w:top w:w="120" w:type="dxa"/>
              <w:start w:w="160" w:type="dxa"/>
              <w:bottom w:w="120" w:type="dxa"/>
              <w:end w:w="160" w:type="dxa"/>
            </w:tcMar>
          </w:tcPr>
          <w:p>
            <w:pPr>
              <w:spacing w:after="0"/>
            </w:pPr>
            <w:r/>
            <w:r>
              <w:rPr>
                <w:rFonts w:ascii="Consolas" w:hAnsi="Consolas"/>
                <w:color w:val="A5F3FC"/>
                <w:sz w:val="19"/>
              </w:rPr>
              <w:t xml:space="preserve">        Gross Client Revenue (contract value, excluding sales tax)</w:t>
            </w:r>
          </w:p>
          <w:p>
            <w:pPr>
              <w:spacing w:after="0"/>
            </w:pPr>
            <w:r>
              <w:rPr>
                <w:rFonts w:ascii="Consolas" w:hAnsi="Consolas"/>
                <w:color w:val="A5F3FC"/>
                <w:sz w:val="19"/>
              </w:rPr>
              <w:t xml:space="preserve">      − Direct Project Expenses (agreed, documented, project-specific)</w:t>
            </w:r>
          </w:p>
          <w:p>
            <w:pPr>
              <w:spacing w:after="0"/>
            </w:pPr>
            <w:r>
              <w:rPr>
                <w:rFonts w:ascii="Consolas" w:hAnsi="Consolas"/>
                <w:color w:val="A5F3FC"/>
                <w:sz w:val="19"/>
              </w:rPr>
              <w:t xml:space="preserve">      ─────────────────────────────────────────────────────────────</w:t>
            </w:r>
          </w:p>
          <w:p>
            <w:pPr>
              <w:spacing w:after="0"/>
            </w:pPr>
            <w:r>
              <w:rPr>
                <w:rFonts w:ascii="Consolas" w:hAnsi="Consolas"/>
                <w:color w:val="A5F3FC"/>
                <w:sz w:val="19"/>
              </w:rPr>
              <w:t xml:space="preserve">      = Net Profit</w:t>
            </w:r>
          </w:p>
          <w:p>
            <w:pPr>
              <w:spacing w:after="0"/>
            </w:pPr>
            <w:r>
              <w:rPr>
                <w:rFonts w:ascii="Consolas" w:hAnsi="Consolas"/>
                <w:color w:val="A5F3FC"/>
                <w:sz w:val="19"/>
              </w:rPr>
              <w:t xml:space="preserve">      × 30%  =  Sales Partner Commission</w:t>
            </w:r>
          </w:p>
          <w:p>
            <w:pPr>
              <w:spacing w:after="0"/>
            </w:pPr>
            <w:r>
              <w:rPr>
                <w:rFonts w:ascii="Consolas" w:hAnsi="Consolas"/>
                <w:color w:val="A5F3FC"/>
                <w:sz w:val="19"/>
              </w:rPr>
              <w:t xml:space="preserve">      × 70%  =  Devzard Share</w:t>
            </w:r>
          </w:p>
        </w:tc>
      </w:tr>
    </w:tbl>
    <w:p>
      <w:pPr>
        <w:spacing w:after="40"/>
      </w:pPr>
    </w:p>
    <w:p>
      <w:r>
        <w:rPr>
          <w:rFonts w:ascii="Calibri" w:hAnsi="Calibri"/>
          <w:b/>
          <w:color w:val="4C1D95"/>
          <w:sz w:val="21"/>
        </w:rPr>
        <w:t>Reference example</w:t>
      </w:r>
    </w:p>
    <w:tbl>
      <w:tblPr>
        <w:tblStyle w:val="TableGrid"/>
        <w:tblW w:type="auto" w:w="0"/>
        <w:jc w:val="center"/>
        <w:tblLook w:firstColumn="1" w:firstRow="1" w:lastColumn="0" w:lastRow="0" w:noHBand="0" w:noVBand="1" w:val="04A0"/>
      </w:tblPr>
      <w:tblGrid>
        <w:gridCol w:w="4896"/>
        <w:gridCol w:w="4896"/>
      </w:tblGrid>
      <w:tr>
        <w:tc>
          <w:tcPr>
            <w:tcW w:type="dxa" w:w="4896"/>
            <w:shd w:val="clear" w:color="auto" w:fill="4C1D95"/>
            <w:tcMar>
              <w:top w:w="60" w:type="dxa"/>
              <w:start w:w="100" w:type="dxa"/>
              <w:bottom w:w="60" w:type="dxa"/>
              <w:end w:w="100" w:type="dxa"/>
            </w:tcMar>
          </w:tcPr>
          <w:p>
            <w:pPr>
              <w:spacing w:after="0"/>
            </w:pPr>
            <w:r/>
            <w:r>
              <w:rPr>
                <w:b/>
                <w:color w:val="FFFFFF"/>
                <w:sz w:val="19"/>
              </w:rPr>
              <w:t>Line</w:t>
            </w:r>
          </w:p>
        </w:tc>
        <w:tc>
          <w:tcPr>
            <w:tcW w:type="dxa" w:w="4896"/>
            <w:shd w:val="clear" w:color="auto" w:fill="4C1D95"/>
            <w:tcMar>
              <w:top w:w="60" w:type="dxa"/>
              <w:start w:w="100" w:type="dxa"/>
              <w:bottom w:w="60" w:type="dxa"/>
              <w:end w:w="100" w:type="dxa"/>
            </w:tcMar>
          </w:tcPr>
          <w:p>
            <w:pPr>
              <w:spacing w:after="0"/>
              <w:jc w:val="right"/>
            </w:pPr>
            <w:r/>
            <w:r>
              <w:rPr>
                <w:b/>
                <w:color w:val="FFFFFF"/>
                <w:sz w:val="19"/>
              </w:rPr>
              <w:t>PKR</w:t>
            </w:r>
          </w:p>
        </w:tc>
      </w:tr>
      <w:tr>
        <w:tc>
          <w:tcPr>
            <w:tcW w:type="dxa" w:w="4896"/>
            <w:tcMar>
              <w:top w:w="60" w:type="dxa"/>
              <w:start w:w="100" w:type="dxa"/>
              <w:bottom w:w="60" w:type="dxa"/>
              <w:end w:w="100" w:type="dxa"/>
            </w:tcMar>
          </w:tcPr>
          <w:p>
            <w:pPr>
              <w:spacing w:after="0"/>
            </w:pPr>
            <w:r/>
            <w:r>
              <w:rPr>
                <w:rFonts w:ascii="Calibri" w:hAnsi="Calibri"/>
                <w:sz w:val="19"/>
              </w:rPr>
              <w:t>Client revenue</w:t>
            </w:r>
          </w:p>
        </w:tc>
        <w:tc>
          <w:tcPr>
            <w:tcW w:type="dxa" w:w="4896"/>
            <w:tcMar>
              <w:top w:w="60" w:type="dxa"/>
              <w:start w:w="100" w:type="dxa"/>
              <w:bottom w:w="60" w:type="dxa"/>
              <w:end w:w="100" w:type="dxa"/>
            </w:tcMar>
          </w:tcPr>
          <w:p>
            <w:pPr>
              <w:spacing w:after="0"/>
              <w:jc w:val="right"/>
            </w:pPr>
            <w:r/>
            <w:r>
              <w:rPr>
                <w:rFonts w:ascii="Calibri" w:hAnsi="Calibri"/>
                <w:sz w:val="19"/>
              </w:rPr>
              <w:t>20,000</w:t>
            </w:r>
          </w:p>
        </w:tc>
      </w:tr>
      <w:tr>
        <w:tc>
          <w:tcPr>
            <w:tcW w:type="dxa" w:w="4896"/>
            <w:shd w:val="clear" w:color="auto" w:fill="F5F3FF"/>
            <w:tcMar>
              <w:top w:w="60" w:type="dxa"/>
              <w:start w:w="100" w:type="dxa"/>
              <w:bottom w:w="60" w:type="dxa"/>
              <w:end w:w="100" w:type="dxa"/>
            </w:tcMar>
          </w:tcPr>
          <w:p>
            <w:pPr>
              <w:spacing w:after="0"/>
            </w:pPr>
            <w:r/>
            <w:r>
              <w:rPr>
                <w:rFonts w:ascii="Calibri" w:hAnsi="Calibri"/>
                <w:sz w:val="19"/>
              </w:rPr>
              <w:t>Direct expenses</w:t>
            </w:r>
          </w:p>
        </w:tc>
        <w:tc>
          <w:tcPr>
            <w:tcW w:type="dxa" w:w="4896"/>
            <w:shd w:val="clear" w:color="auto" w:fill="F5F3FF"/>
            <w:tcMar>
              <w:top w:w="60" w:type="dxa"/>
              <w:start w:w="100" w:type="dxa"/>
              <w:bottom w:w="60" w:type="dxa"/>
              <w:end w:w="100" w:type="dxa"/>
            </w:tcMar>
          </w:tcPr>
          <w:p>
            <w:pPr>
              <w:spacing w:after="0"/>
              <w:jc w:val="right"/>
            </w:pPr>
            <w:r/>
            <w:r>
              <w:rPr>
                <w:rFonts w:ascii="Calibri" w:hAnsi="Calibri"/>
                <w:sz w:val="19"/>
              </w:rPr>
              <w:t>5,000</w:t>
            </w:r>
          </w:p>
        </w:tc>
      </w:tr>
      <w:tr>
        <w:tc>
          <w:tcPr>
            <w:tcW w:type="dxa" w:w="4896"/>
            <w:tcMar>
              <w:top w:w="60" w:type="dxa"/>
              <w:start w:w="100" w:type="dxa"/>
              <w:bottom w:w="60" w:type="dxa"/>
              <w:end w:w="100" w:type="dxa"/>
            </w:tcMar>
          </w:tcPr>
          <w:p>
            <w:pPr>
              <w:spacing w:after="0"/>
            </w:pPr>
            <w:r/>
            <w:r>
              <w:rPr>
                <w:rFonts w:ascii="Calibri" w:hAnsi="Calibri"/>
                <w:sz w:val="19"/>
              </w:rPr>
              <w:t>Net profit</w:t>
            </w:r>
          </w:p>
        </w:tc>
        <w:tc>
          <w:tcPr>
            <w:tcW w:type="dxa" w:w="4896"/>
            <w:tcMar>
              <w:top w:w="60" w:type="dxa"/>
              <w:start w:w="100" w:type="dxa"/>
              <w:bottom w:w="60" w:type="dxa"/>
              <w:end w:w="100" w:type="dxa"/>
            </w:tcMar>
          </w:tcPr>
          <w:p>
            <w:pPr>
              <w:spacing w:after="0"/>
              <w:jc w:val="right"/>
            </w:pPr>
            <w:r/>
            <w:r>
              <w:rPr>
                <w:rFonts w:ascii="Calibri" w:hAnsi="Calibri"/>
                <w:sz w:val="19"/>
              </w:rPr>
              <w:t>15,000</w:t>
            </w:r>
          </w:p>
        </w:tc>
      </w:tr>
      <w:tr>
        <w:tc>
          <w:tcPr>
            <w:tcW w:type="dxa" w:w="4896"/>
            <w:shd w:val="clear" w:color="auto" w:fill="F5F3FF"/>
            <w:tcMar>
              <w:top w:w="60" w:type="dxa"/>
              <w:start w:w="100" w:type="dxa"/>
              <w:bottom w:w="60" w:type="dxa"/>
              <w:end w:w="100" w:type="dxa"/>
            </w:tcMar>
          </w:tcPr>
          <w:p>
            <w:pPr>
              <w:spacing w:after="0"/>
            </w:pPr>
            <w:r/>
            <w:r>
              <w:rPr>
                <w:rFonts w:ascii="Calibri" w:hAnsi="Calibri"/>
                <w:sz w:val="19"/>
              </w:rPr>
              <w:t>Devzard (70%)</w:t>
            </w:r>
          </w:p>
        </w:tc>
        <w:tc>
          <w:tcPr>
            <w:tcW w:type="dxa" w:w="4896"/>
            <w:shd w:val="clear" w:color="auto" w:fill="F5F3FF"/>
            <w:tcMar>
              <w:top w:w="60" w:type="dxa"/>
              <w:start w:w="100" w:type="dxa"/>
              <w:bottom w:w="60" w:type="dxa"/>
              <w:end w:w="100" w:type="dxa"/>
            </w:tcMar>
          </w:tcPr>
          <w:p>
            <w:pPr>
              <w:spacing w:after="0"/>
              <w:jc w:val="right"/>
            </w:pPr>
            <w:r/>
            <w:r>
              <w:rPr>
                <w:rFonts w:ascii="Calibri" w:hAnsi="Calibri"/>
                <w:sz w:val="19"/>
              </w:rPr>
              <w:t>10,500</w:t>
            </w:r>
          </w:p>
        </w:tc>
      </w:tr>
      <w:tr>
        <w:tc>
          <w:tcPr>
            <w:tcW w:type="dxa" w:w="4896"/>
            <w:tcMar>
              <w:top w:w="60" w:type="dxa"/>
              <w:start w:w="100" w:type="dxa"/>
              <w:bottom w:w="60" w:type="dxa"/>
              <w:end w:w="100" w:type="dxa"/>
            </w:tcMar>
          </w:tcPr>
          <w:p>
            <w:pPr>
              <w:spacing w:after="0"/>
            </w:pPr>
            <w:r/>
            <w:r>
              <w:rPr>
                <w:rFonts w:ascii="Calibri" w:hAnsi="Calibri"/>
                <w:sz w:val="19"/>
              </w:rPr>
              <w:t>Sales Partner (30%)</w:t>
            </w:r>
          </w:p>
        </w:tc>
        <w:tc>
          <w:tcPr>
            <w:tcW w:type="dxa" w:w="4896"/>
            <w:tcMar>
              <w:top w:w="60" w:type="dxa"/>
              <w:start w:w="100" w:type="dxa"/>
              <w:bottom w:w="60" w:type="dxa"/>
              <w:end w:w="100" w:type="dxa"/>
            </w:tcMar>
          </w:tcPr>
          <w:p>
            <w:pPr>
              <w:spacing w:after="0"/>
              <w:jc w:val="right"/>
            </w:pPr>
            <w:r/>
            <w:r>
              <w:rPr>
                <w:rFonts w:ascii="Calibri" w:hAnsi="Calibri"/>
                <w:b/>
                <w:color w:val="4C1D95"/>
                <w:sz w:val="19"/>
              </w:rPr>
              <w:t>4,500</w:t>
            </w:r>
          </w:p>
        </w:tc>
      </w:tr>
    </w:tbl>
    <w:p>
      <w:pPr>
        <w:spacing w:after="40"/>
      </w:pPr>
    </w:p>
    <w:p>
      <w:r>
        <w:rPr>
          <w:rFonts w:ascii="Calibri" w:hAnsi="Calibri"/>
          <w:sz w:val="21"/>
        </w:rPr>
        <w:t xml:space="preserve">Expense rules, apportionment and worked examples are set out in the </w:t>
      </w:r>
      <w:r>
        <w:rPr>
          <w:rFonts w:ascii="Calibri" w:hAnsi="Calibri"/>
          <w:b/>
          <w:color w:val="4C1D95"/>
          <w:sz w:val="21"/>
        </w:rPr>
        <w:t>Commission &amp; Net Profit Guide</w:t>
      </w:r>
      <w:r>
        <w:rPr>
          <w:rFonts w:ascii="Calibri" w:hAnsi="Calibri"/>
          <w:sz w:val="21"/>
        </w:rPr>
        <w:t>, which forms part of the programme documentation and may be updated by Devzard from time to time with 30 days' notice to the Sales Partner.</w:t>
      </w:r>
    </w:p>
    <w:p>
      <w:pPr>
        <w:spacing w:before="40" w:after="120"/>
        <w:pBdr>
          <w:bottom w:val="single" w:sz="8" w:space="4" w:color="E5E1F5"/>
        </w:pBdr>
      </w:pPr>
    </w:p>
    <w:p>
      <w:r>
        <w:br w:type="page"/>
      </w:r>
    </w:p>
    <w:p>
      <w:pPr>
        <w:spacing w:before="320" w:after="80"/>
        <w:pBdr>
          <w:bottom w:val="single" w:sz="14" w:space="4" w:color="EC4899"/>
        </w:pBdr>
      </w:pPr>
      <w:r>
        <w:rPr>
          <w:b/>
          <w:color w:val="4C1D95"/>
          <w:sz w:val="44"/>
        </w:rPr>
        <w:t>Schedule C — Lead registration form</w:t>
      </w:r>
    </w:p>
    <w:p>
      <w:r>
        <w:rPr>
          <w:rFonts w:ascii="Calibri" w:hAnsi="Calibri"/>
          <w:i/>
          <w:sz w:val="21"/>
        </w:rPr>
        <w:t>Each Lead must be registered before first contact. Devzard responds within 2 business days.</w:t>
      </w:r>
    </w:p>
    <w:tbl>
      <w:tblPr>
        <w:tblStyle w:val="TableGrid"/>
        <w:tblW w:type="auto" w:w="0"/>
        <w:jc w:val="center"/>
        <w:tblLook w:firstColumn="1" w:firstRow="1" w:lastColumn="0" w:lastRow="0" w:noHBand="0" w:noVBand="1" w:val="04A0"/>
      </w:tblPr>
      <w:tblGrid>
        <w:gridCol w:w="4896"/>
        <w:gridCol w:w="4896"/>
      </w:tblGrid>
      <w:tr>
        <w:tc>
          <w:tcPr>
            <w:tcW w:type="dxa" w:w="4896"/>
            <w:shd w:val="clear" w:color="auto" w:fill="4C1D95"/>
            <w:tcMar>
              <w:top w:w="60" w:type="dxa"/>
              <w:start w:w="100" w:type="dxa"/>
              <w:bottom w:w="60" w:type="dxa"/>
              <w:end w:w="100" w:type="dxa"/>
            </w:tcMar>
          </w:tcPr>
          <w:p>
            <w:pPr>
              <w:spacing w:after="0"/>
            </w:pPr>
            <w:r/>
            <w:r>
              <w:rPr>
                <w:b/>
                <w:color w:val="FFFFFF"/>
                <w:sz w:val="19"/>
              </w:rPr>
              <w:t>Field</w:t>
            </w:r>
          </w:p>
        </w:tc>
        <w:tc>
          <w:tcPr>
            <w:tcW w:type="dxa" w:w="4896"/>
            <w:shd w:val="clear" w:color="auto" w:fill="4C1D95"/>
            <w:tcMar>
              <w:top w:w="60" w:type="dxa"/>
              <w:start w:w="100" w:type="dxa"/>
              <w:bottom w:w="60" w:type="dxa"/>
              <w:end w:w="100" w:type="dxa"/>
            </w:tcMar>
          </w:tcPr>
          <w:p>
            <w:pPr>
              <w:spacing w:after="0"/>
            </w:pPr>
            <w:r/>
            <w:r>
              <w:rPr>
                <w:b/>
                <w:color w:val="FFFFFF"/>
                <w:sz w:val="19"/>
              </w:rPr>
              <w:t>Entry</w:t>
            </w:r>
          </w:p>
        </w:tc>
      </w:tr>
      <w:tr>
        <w:tc>
          <w:tcPr>
            <w:tcW w:type="dxa" w:w="4896"/>
            <w:tcMar>
              <w:top w:w="60" w:type="dxa"/>
              <w:start w:w="100" w:type="dxa"/>
              <w:bottom w:w="60" w:type="dxa"/>
              <w:end w:w="100" w:type="dxa"/>
            </w:tcMar>
          </w:tcPr>
          <w:p>
            <w:pPr>
              <w:spacing w:after="0"/>
            </w:pPr>
            <w:r/>
            <w:r>
              <w:rPr>
                <w:rFonts w:ascii="Calibri" w:hAnsi="Calibri"/>
                <w:sz w:val="19"/>
              </w:rPr>
              <w:t>Date and time of registration</w:t>
            </w:r>
          </w:p>
        </w:tc>
        <w:tc>
          <w:tcPr>
            <w:tcW w:type="dxa" w:w="4896"/>
            <w:tcMar>
              <w:top w:w="60" w:type="dxa"/>
              <w:start w:w="100" w:type="dxa"/>
              <w:bottom w:w="60" w:type="dxa"/>
              <w:end w:w="100" w:type="dxa"/>
            </w:tcMar>
          </w:tcPr>
          <w:p>
            <w:pPr>
              <w:spacing w:after="0"/>
            </w:pPr>
            <w:r/>
            <w:r>
              <w:rPr>
                <w:rFonts w:ascii="Calibri" w:hAnsi="Calibri"/>
                <w:sz w:val="19"/>
              </w:rPr>
            </w:r>
          </w:p>
        </w:tc>
      </w:tr>
      <w:tr>
        <w:tc>
          <w:tcPr>
            <w:tcW w:type="dxa" w:w="4896"/>
            <w:shd w:val="clear" w:color="auto" w:fill="F5F3FF"/>
            <w:tcMar>
              <w:top w:w="60" w:type="dxa"/>
              <w:start w:w="100" w:type="dxa"/>
              <w:bottom w:w="60" w:type="dxa"/>
              <w:end w:w="100" w:type="dxa"/>
            </w:tcMar>
          </w:tcPr>
          <w:p>
            <w:pPr>
              <w:spacing w:after="0"/>
            </w:pPr>
            <w:r/>
            <w:r>
              <w:rPr>
                <w:rFonts w:ascii="Calibri" w:hAnsi="Calibri"/>
                <w:sz w:val="19"/>
              </w:rPr>
              <w:t>Business / organisation name</w:t>
            </w:r>
          </w:p>
        </w:tc>
        <w:tc>
          <w:tcPr>
            <w:tcW w:type="dxa" w:w="4896"/>
            <w:shd w:val="clear" w:color="auto" w:fill="F5F3FF"/>
            <w:tcMar>
              <w:top w:w="60" w:type="dxa"/>
              <w:start w:w="100" w:type="dxa"/>
              <w:bottom w:w="60" w:type="dxa"/>
              <w:end w:w="100" w:type="dxa"/>
            </w:tcMar>
          </w:tcPr>
          <w:p>
            <w:pPr>
              <w:spacing w:after="0"/>
            </w:pPr>
            <w:r/>
            <w:r>
              <w:rPr>
                <w:rFonts w:ascii="Calibri" w:hAnsi="Calibri"/>
                <w:sz w:val="19"/>
              </w:rPr>
            </w:r>
          </w:p>
        </w:tc>
      </w:tr>
      <w:tr>
        <w:tc>
          <w:tcPr>
            <w:tcW w:type="dxa" w:w="4896"/>
            <w:tcMar>
              <w:top w:w="60" w:type="dxa"/>
              <w:start w:w="100" w:type="dxa"/>
              <w:bottom w:w="60" w:type="dxa"/>
              <w:end w:w="100" w:type="dxa"/>
            </w:tcMar>
          </w:tcPr>
          <w:p>
            <w:pPr>
              <w:spacing w:after="0"/>
            </w:pPr>
            <w:r/>
            <w:r>
              <w:rPr>
                <w:rFonts w:ascii="Calibri" w:hAnsi="Calibri"/>
                <w:sz w:val="19"/>
              </w:rPr>
              <w:t>Contact person and designation</w:t>
            </w:r>
          </w:p>
        </w:tc>
        <w:tc>
          <w:tcPr>
            <w:tcW w:type="dxa" w:w="4896"/>
            <w:tcMar>
              <w:top w:w="60" w:type="dxa"/>
              <w:start w:w="100" w:type="dxa"/>
              <w:bottom w:w="60" w:type="dxa"/>
              <w:end w:w="100" w:type="dxa"/>
            </w:tcMar>
          </w:tcPr>
          <w:p>
            <w:pPr>
              <w:spacing w:after="0"/>
            </w:pPr>
            <w:r/>
            <w:r>
              <w:rPr>
                <w:rFonts w:ascii="Calibri" w:hAnsi="Calibri"/>
                <w:sz w:val="19"/>
              </w:rPr>
            </w:r>
          </w:p>
        </w:tc>
      </w:tr>
      <w:tr>
        <w:tc>
          <w:tcPr>
            <w:tcW w:type="dxa" w:w="4896"/>
            <w:shd w:val="clear" w:color="auto" w:fill="F5F3FF"/>
            <w:tcMar>
              <w:top w:w="60" w:type="dxa"/>
              <w:start w:w="100" w:type="dxa"/>
              <w:bottom w:w="60" w:type="dxa"/>
              <w:end w:w="100" w:type="dxa"/>
            </w:tcMar>
          </w:tcPr>
          <w:p>
            <w:pPr>
              <w:spacing w:after="0"/>
            </w:pPr>
            <w:r/>
            <w:r>
              <w:rPr>
                <w:rFonts w:ascii="Calibri" w:hAnsi="Calibri"/>
                <w:sz w:val="19"/>
              </w:rPr>
              <w:t>Phone / WhatsApp</w:t>
            </w:r>
          </w:p>
        </w:tc>
        <w:tc>
          <w:tcPr>
            <w:tcW w:type="dxa" w:w="4896"/>
            <w:shd w:val="clear" w:color="auto" w:fill="F5F3FF"/>
            <w:tcMar>
              <w:top w:w="60" w:type="dxa"/>
              <w:start w:w="100" w:type="dxa"/>
              <w:bottom w:w="60" w:type="dxa"/>
              <w:end w:w="100" w:type="dxa"/>
            </w:tcMar>
          </w:tcPr>
          <w:p>
            <w:pPr>
              <w:spacing w:after="0"/>
            </w:pPr>
            <w:r/>
            <w:r>
              <w:rPr>
                <w:rFonts w:ascii="Calibri" w:hAnsi="Calibri"/>
                <w:sz w:val="19"/>
              </w:rPr>
            </w:r>
          </w:p>
        </w:tc>
      </w:tr>
      <w:tr>
        <w:tc>
          <w:tcPr>
            <w:tcW w:type="dxa" w:w="4896"/>
            <w:tcMar>
              <w:top w:w="60" w:type="dxa"/>
              <w:start w:w="100" w:type="dxa"/>
              <w:bottom w:w="60" w:type="dxa"/>
              <w:end w:w="100" w:type="dxa"/>
            </w:tcMar>
          </w:tcPr>
          <w:p>
            <w:pPr>
              <w:spacing w:after="0"/>
            </w:pPr>
            <w:r/>
            <w:r>
              <w:rPr>
                <w:rFonts w:ascii="Calibri" w:hAnsi="Calibri"/>
                <w:sz w:val="19"/>
              </w:rPr>
              <w:t>Email</w:t>
            </w:r>
          </w:p>
        </w:tc>
        <w:tc>
          <w:tcPr>
            <w:tcW w:type="dxa" w:w="4896"/>
            <w:tcMar>
              <w:top w:w="60" w:type="dxa"/>
              <w:start w:w="100" w:type="dxa"/>
              <w:bottom w:w="60" w:type="dxa"/>
              <w:end w:w="100" w:type="dxa"/>
            </w:tcMar>
          </w:tcPr>
          <w:p>
            <w:pPr>
              <w:spacing w:after="0"/>
            </w:pPr>
            <w:r/>
            <w:r>
              <w:rPr>
                <w:rFonts w:ascii="Calibri" w:hAnsi="Calibri"/>
                <w:sz w:val="19"/>
              </w:rPr>
            </w:r>
          </w:p>
        </w:tc>
      </w:tr>
      <w:tr>
        <w:tc>
          <w:tcPr>
            <w:tcW w:type="dxa" w:w="4896"/>
            <w:shd w:val="clear" w:color="auto" w:fill="F5F3FF"/>
            <w:tcMar>
              <w:top w:w="60" w:type="dxa"/>
              <w:start w:w="100" w:type="dxa"/>
              <w:bottom w:w="60" w:type="dxa"/>
              <w:end w:w="100" w:type="dxa"/>
            </w:tcMar>
          </w:tcPr>
          <w:p>
            <w:pPr>
              <w:spacing w:after="0"/>
            </w:pPr>
            <w:r/>
            <w:r>
              <w:rPr>
                <w:rFonts w:ascii="Calibri" w:hAnsi="Calibri"/>
                <w:sz w:val="19"/>
              </w:rPr>
              <w:t>Website / social page (if any)</w:t>
            </w:r>
          </w:p>
        </w:tc>
        <w:tc>
          <w:tcPr>
            <w:tcW w:type="dxa" w:w="4896"/>
            <w:shd w:val="clear" w:color="auto" w:fill="F5F3FF"/>
            <w:tcMar>
              <w:top w:w="60" w:type="dxa"/>
              <w:start w:w="100" w:type="dxa"/>
              <w:bottom w:w="60" w:type="dxa"/>
              <w:end w:w="100" w:type="dxa"/>
            </w:tcMar>
          </w:tcPr>
          <w:p>
            <w:pPr>
              <w:spacing w:after="0"/>
            </w:pPr>
            <w:r/>
            <w:r>
              <w:rPr>
                <w:rFonts w:ascii="Calibri" w:hAnsi="Calibri"/>
                <w:sz w:val="19"/>
              </w:rPr>
            </w:r>
          </w:p>
        </w:tc>
      </w:tr>
      <w:tr>
        <w:tc>
          <w:tcPr>
            <w:tcW w:type="dxa" w:w="4896"/>
            <w:tcMar>
              <w:top w:w="60" w:type="dxa"/>
              <w:start w:w="100" w:type="dxa"/>
              <w:bottom w:w="60" w:type="dxa"/>
              <w:end w:w="100" w:type="dxa"/>
            </w:tcMar>
          </w:tcPr>
          <w:p>
            <w:pPr>
              <w:spacing w:after="0"/>
            </w:pPr>
            <w:r/>
            <w:r>
              <w:rPr>
                <w:rFonts w:ascii="Calibri" w:hAnsi="Calibri"/>
                <w:sz w:val="19"/>
              </w:rPr>
              <w:t>Industry</w:t>
            </w:r>
          </w:p>
        </w:tc>
        <w:tc>
          <w:tcPr>
            <w:tcW w:type="dxa" w:w="4896"/>
            <w:tcMar>
              <w:top w:w="60" w:type="dxa"/>
              <w:start w:w="100" w:type="dxa"/>
              <w:bottom w:w="60" w:type="dxa"/>
              <w:end w:w="100" w:type="dxa"/>
            </w:tcMar>
          </w:tcPr>
          <w:p>
            <w:pPr>
              <w:spacing w:after="0"/>
            </w:pPr>
            <w:r/>
            <w:r>
              <w:rPr>
                <w:rFonts w:ascii="Calibri" w:hAnsi="Calibri"/>
                <w:sz w:val="19"/>
              </w:rPr>
            </w:r>
          </w:p>
        </w:tc>
      </w:tr>
      <w:tr>
        <w:tc>
          <w:tcPr>
            <w:tcW w:type="dxa" w:w="4896"/>
            <w:shd w:val="clear" w:color="auto" w:fill="F5F3FF"/>
            <w:tcMar>
              <w:top w:w="60" w:type="dxa"/>
              <w:start w:w="100" w:type="dxa"/>
              <w:bottom w:w="60" w:type="dxa"/>
              <w:end w:w="100" w:type="dxa"/>
            </w:tcMar>
          </w:tcPr>
          <w:p>
            <w:pPr>
              <w:spacing w:after="0"/>
            </w:pPr>
            <w:r/>
            <w:r>
              <w:rPr>
                <w:rFonts w:ascii="Calibri" w:hAnsi="Calibri"/>
                <w:sz w:val="19"/>
              </w:rPr>
              <w:t>How you know them / source</w:t>
            </w:r>
          </w:p>
        </w:tc>
        <w:tc>
          <w:tcPr>
            <w:tcW w:type="dxa" w:w="4896"/>
            <w:shd w:val="clear" w:color="auto" w:fill="F5F3FF"/>
            <w:tcMar>
              <w:top w:w="60" w:type="dxa"/>
              <w:start w:w="100" w:type="dxa"/>
              <w:bottom w:w="60" w:type="dxa"/>
              <w:end w:w="100" w:type="dxa"/>
            </w:tcMar>
          </w:tcPr>
          <w:p>
            <w:pPr>
              <w:spacing w:after="0"/>
            </w:pPr>
            <w:r/>
            <w:r>
              <w:rPr>
                <w:rFonts w:ascii="Calibri" w:hAnsi="Calibri"/>
                <w:sz w:val="19"/>
              </w:rPr>
            </w:r>
          </w:p>
        </w:tc>
      </w:tr>
      <w:tr>
        <w:tc>
          <w:tcPr>
            <w:tcW w:type="dxa" w:w="4896"/>
            <w:tcMar>
              <w:top w:w="60" w:type="dxa"/>
              <w:start w:w="100" w:type="dxa"/>
              <w:bottom w:w="60" w:type="dxa"/>
              <w:end w:w="100" w:type="dxa"/>
            </w:tcMar>
          </w:tcPr>
          <w:p>
            <w:pPr>
              <w:spacing w:after="0"/>
            </w:pPr>
            <w:r/>
            <w:r>
              <w:rPr>
                <w:rFonts w:ascii="Calibri" w:hAnsi="Calibri"/>
                <w:sz w:val="19"/>
              </w:rPr>
              <w:t>What they appear to need</w:t>
            </w:r>
          </w:p>
        </w:tc>
        <w:tc>
          <w:tcPr>
            <w:tcW w:type="dxa" w:w="4896"/>
            <w:tcMar>
              <w:top w:w="60" w:type="dxa"/>
              <w:start w:w="100" w:type="dxa"/>
              <w:bottom w:w="60" w:type="dxa"/>
              <w:end w:w="100" w:type="dxa"/>
            </w:tcMar>
          </w:tcPr>
          <w:p>
            <w:pPr>
              <w:spacing w:after="0"/>
            </w:pPr>
            <w:r/>
            <w:r>
              <w:rPr>
                <w:rFonts w:ascii="Calibri" w:hAnsi="Calibri"/>
                <w:sz w:val="19"/>
              </w:rPr>
            </w:r>
          </w:p>
        </w:tc>
      </w:tr>
      <w:tr>
        <w:tc>
          <w:tcPr>
            <w:tcW w:type="dxa" w:w="4896"/>
            <w:shd w:val="clear" w:color="auto" w:fill="F5F3FF"/>
            <w:tcMar>
              <w:top w:w="60" w:type="dxa"/>
              <w:start w:w="100" w:type="dxa"/>
              <w:bottom w:w="60" w:type="dxa"/>
              <w:end w:w="100" w:type="dxa"/>
            </w:tcMar>
          </w:tcPr>
          <w:p>
            <w:pPr>
              <w:spacing w:after="0"/>
            </w:pPr>
            <w:r/>
            <w:r>
              <w:rPr>
                <w:rFonts w:ascii="Calibri" w:hAnsi="Calibri"/>
                <w:sz w:val="19"/>
              </w:rPr>
              <w:t>Indicated budget (if known)</w:t>
            </w:r>
          </w:p>
        </w:tc>
        <w:tc>
          <w:tcPr>
            <w:tcW w:type="dxa" w:w="4896"/>
            <w:shd w:val="clear" w:color="auto" w:fill="F5F3FF"/>
            <w:tcMar>
              <w:top w:w="60" w:type="dxa"/>
              <w:start w:w="100" w:type="dxa"/>
              <w:bottom w:w="60" w:type="dxa"/>
              <w:end w:w="100" w:type="dxa"/>
            </w:tcMar>
          </w:tcPr>
          <w:p>
            <w:pPr>
              <w:spacing w:after="0"/>
            </w:pPr>
            <w:r/>
            <w:r>
              <w:rPr>
                <w:rFonts w:ascii="Calibri" w:hAnsi="Calibri"/>
                <w:sz w:val="19"/>
              </w:rPr>
            </w:r>
          </w:p>
        </w:tc>
      </w:tr>
      <w:tr>
        <w:tc>
          <w:tcPr>
            <w:tcW w:type="dxa" w:w="4896"/>
            <w:tcMar>
              <w:top w:w="60" w:type="dxa"/>
              <w:start w:w="100" w:type="dxa"/>
              <w:bottom w:w="60" w:type="dxa"/>
              <w:end w:w="100" w:type="dxa"/>
            </w:tcMar>
          </w:tcPr>
          <w:p>
            <w:pPr>
              <w:spacing w:after="0"/>
            </w:pPr>
            <w:r/>
            <w:r>
              <w:rPr>
                <w:rFonts w:ascii="Calibri" w:hAnsi="Calibri"/>
                <w:sz w:val="19"/>
              </w:rPr>
              <w:t>Preferred start date (if known)</w:t>
            </w:r>
          </w:p>
        </w:tc>
        <w:tc>
          <w:tcPr>
            <w:tcW w:type="dxa" w:w="4896"/>
            <w:tcMar>
              <w:top w:w="60" w:type="dxa"/>
              <w:start w:w="100" w:type="dxa"/>
              <w:bottom w:w="60" w:type="dxa"/>
              <w:end w:w="100" w:type="dxa"/>
            </w:tcMar>
          </w:tcPr>
          <w:p>
            <w:pPr>
              <w:spacing w:after="0"/>
            </w:pPr>
            <w:r/>
            <w:r>
              <w:rPr>
                <w:rFonts w:ascii="Calibri" w:hAnsi="Calibri"/>
                <w:sz w:val="19"/>
              </w:rPr>
            </w:r>
          </w:p>
        </w:tc>
      </w:tr>
      <w:tr>
        <w:tc>
          <w:tcPr>
            <w:tcW w:type="dxa" w:w="4896"/>
            <w:shd w:val="clear" w:color="auto" w:fill="F5F3FF"/>
            <w:tcMar>
              <w:top w:w="60" w:type="dxa"/>
              <w:start w:w="100" w:type="dxa"/>
              <w:bottom w:w="60" w:type="dxa"/>
              <w:end w:w="100" w:type="dxa"/>
            </w:tcMar>
          </w:tcPr>
          <w:p>
            <w:pPr>
              <w:spacing w:after="0"/>
            </w:pPr>
            <w:r/>
            <w:r>
              <w:rPr>
                <w:rFonts w:ascii="Calibri" w:hAnsi="Calibri"/>
                <w:sz w:val="19"/>
              </w:rPr>
              <w:t>Registered by (Sales Partner)</w:t>
            </w:r>
          </w:p>
        </w:tc>
        <w:tc>
          <w:tcPr>
            <w:tcW w:type="dxa" w:w="4896"/>
            <w:shd w:val="clear" w:color="auto" w:fill="F5F3FF"/>
            <w:tcMar>
              <w:top w:w="60" w:type="dxa"/>
              <w:start w:w="100" w:type="dxa"/>
              <w:bottom w:w="60" w:type="dxa"/>
              <w:end w:w="100" w:type="dxa"/>
            </w:tcMar>
          </w:tcPr>
          <w:p>
            <w:pPr>
              <w:spacing w:after="0"/>
            </w:pPr>
            <w:r/>
            <w:r>
              <w:rPr>
                <w:rFonts w:ascii="Calibri" w:hAnsi="Calibri"/>
                <w:sz w:val="19"/>
              </w:rPr>
            </w:r>
          </w:p>
        </w:tc>
      </w:tr>
      <w:tr>
        <w:tc>
          <w:tcPr>
            <w:tcW w:type="dxa" w:w="4896"/>
            <w:tcMar>
              <w:top w:w="60" w:type="dxa"/>
              <w:start w:w="100" w:type="dxa"/>
              <w:bottom w:w="60" w:type="dxa"/>
              <w:end w:w="100" w:type="dxa"/>
            </w:tcMar>
          </w:tcPr>
          <w:p>
            <w:pPr>
              <w:spacing w:after="0"/>
            </w:pPr>
            <w:r/>
            <w:r>
              <w:rPr>
                <w:rFonts w:ascii="Calibri" w:hAnsi="Calibri"/>
                <w:sz w:val="19"/>
              </w:rPr>
              <w:t>Devzard response — Accepted / Declined (reason)</w:t>
            </w:r>
          </w:p>
        </w:tc>
        <w:tc>
          <w:tcPr>
            <w:tcW w:type="dxa" w:w="4896"/>
            <w:tcMar>
              <w:top w:w="60" w:type="dxa"/>
              <w:start w:w="100" w:type="dxa"/>
              <w:bottom w:w="60" w:type="dxa"/>
              <w:end w:w="100" w:type="dxa"/>
            </w:tcMar>
          </w:tcPr>
          <w:p>
            <w:pPr>
              <w:spacing w:after="0"/>
            </w:pPr>
            <w:r/>
            <w:r>
              <w:rPr>
                <w:rFonts w:ascii="Calibri" w:hAnsi="Calibri"/>
                <w:sz w:val="19"/>
              </w:rPr>
            </w:r>
          </w:p>
        </w:tc>
      </w:tr>
      <w:tr>
        <w:tc>
          <w:tcPr>
            <w:tcW w:type="dxa" w:w="4896"/>
            <w:shd w:val="clear" w:color="auto" w:fill="F5F3FF"/>
            <w:tcMar>
              <w:top w:w="60" w:type="dxa"/>
              <w:start w:w="100" w:type="dxa"/>
              <w:bottom w:w="60" w:type="dxa"/>
              <w:end w:w="100" w:type="dxa"/>
            </w:tcMar>
          </w:tcPr>
          <w:p>
            <w:pPr>
              <w:spacing w:after="0"/>
            </w:pPr>
            <w:r/>
            <w:r>
              <w:rPr>
                <w:rFonts w:ascii="Calibri" w:hAnsi="Calibri"/>
                <w:sz w:val="19"/>
              </w:rPr>
              <w:t>Protection period end date</w:t>
            </w:r>
          </w:p>
        </w:tc>
        <w:tc>
          <w:tcPr>
            <w:tcW w:type="dxa" w:w="4896"/>
            <w:shd w:val="clear" w:color="auto" w:fill="F5F3FF"/>
            <w:tcMar>
              <w:top w:w="60" w:type="dxa"/>
              <w:start w:w="100" w:type="dxa"/>
              <w:bottom w:w="60" w:type="dxa"/>
              <w:end w:w="100" w:type="dxa"/>
            </w:tcMar>
          </w:tcPr>
          <w:p>
            <w:pPr>
              <w:spacing w:after="0"/>
            </w:pPr>
            <w:r/>
            <w:r>
              <w:rPr>
                <w:rFonts w:ascii="Calibri" w:hAnsi="Calibri"/>
                <w:sz w:val="19"/>
              </w:rPr>
            </w:r>
          </w:p>
        </w:tc>
      </w:tr>
    </w:tbl>
    <w:p>
      <w:pPr>
        <w:spacing w:after="40"/>
      </w:pPr>
    </w:p>
    <w:p>
      <w:pPr>
        <w:spacing w:before="40" w:after="120"/>
        <w:pBdr>
          <w:bottom w:val="single" w:sz="8" w:space="4" w:color="E5E1F5"/>
        </w:pBdr>
      </w:pPr>
    </w:p>
    <w:p>
      <w:r>
        <w:br w:type="page"/>
      </w:r>
    </w:p>
    <w:p>
      <w:pPr>
        <w:spacing w:before="320" w:after="80"/>
        <w:pBdr>
          <w:bottom w:val="single" w:sz="14" w:space="4" w:color="EC4899"/>
        </w:pBdr>
      </w:pPr>
      <w:r>
        <w:rPr>
          <w:b/>
          <w:color w:val="4C1D95"/>
          <w:sz w:val="44"/>
        </w:rPr>
        <w:t>Schedule D — Client exclusion list</w:t>
      </w:r>
    </w:p>
    <w:p>
      <w:r>
        <w:rPr>
          <w:rFonts w:ascii="Calibri" w:hAnsi="Calibri"/>
          <w:i/>
          <w:sz w:val="21"/>
        </w:rPr>
        <w:t>Existing Devzard clients and active opportunities. These are excluded from the programme. This list will be updated at least monthly; changes take effect 3 business days after written notice.</w:t>
      </w:r>
    </w:p>
    <w:tbl>
      <w:tblPr>
        <w:tblStyle w:val="TableGrid"/>
        <w:tblW w:type="auto" w:w="0"/>
        <w:jc w:val="center"/>
        <w:tblLook w:firstColumn="1" w:firstRow="1" w:lastColumn="0" w:lastRow="0" w:noHBand="0" w:noVBand="1" w:val="04A0"/>
      </w:tblPr>
      <w:tblGrid>
        <w:gridCol w:w="3264"/>
        <w:gridCol w:w="3264"/>
        <w:gridCol w:w="3264"/>
      </w:tblGrid>
      <w:tr>
        <w:tc>
          <w:tcPr>
            <w:tcW w:type="dxa" w:w="3264"/>
            <w:shd w:val="clear" w:color="auto" w:fill="4C1D95"/>
            <w:tcMar>
              <w:top w:w="60" w:type="dxa"/>
              <w:start w:w="100" w:type="dxa"/>
              <w:bottom w:w="60" w:type="dxa"/>
              <w:end w:w="100" w:type="dxa"/>
            </w:tcMar>
          </w:tcPr>
          <w:p>
            <w:pPr>
              <w:spacing w:after="0"/>
            </w:pPr>
            <w:r/>
            <w:r>
              <w:rPr>
                <w:b/>
                <w:color w:val="FFFFFF"/>
                <w:sz w:val="19"/>
              </w:rPr>
              <w:t>#</w:t>
            </w:r>
          </w:p>
        </w:tc>
        <w:tc>
          <w:tcPr>
            <w:tcW w:type="dxa" w:w="3264"/>
            <w:shd w:val="clear" w:color="auto" w:fill="4C1D95"/>
            <w:tcMar>
              <w:top w:w="60" w:type="dxa"/>
              <w:start w:w="100" w:type="dxa"/>
              <w:bottom w:w="60" w:type="dxa"/>
              <w:end w:w="100" w:type="dxa"/>
            </w:tcMar>
          </w:tcPr>
          <w:p>
            <w:pPr>
              <w:spacing w:after="0"/>
            </w:pPr>
            <w:r/>
            <w:r>
              <w:rPr>
                <w:b/>
                <w:color w:val="FFFFFF"/>
                <w:sz w:val="19"/>
              </w:rPr>
              <w:t>Business / organisation</w:t>
            </w:r>
          </w:p>
        </w:tc>
        <w:tc>
          <w:tcPr>
            <w:tcW w:type="dxa" w:w="3264"/>
            <w:shd w:val="clear" w:color="auto" w:fill="4C1D95"/>
            <w:tcMar>
              <w:top w:w="60" w:type="dxa"/>
              <w:start w:w="100" w:type="dxa"/>
              <w:bottom w:w="60" w:type="dxa"/>
              <w:end w:w="100" w:type="dxa"/>
            </w:tcMar>
          </w:tcPr>
          <w:p>
            <w:pPr>
              <w:spacing w:after="0"/>
            </w:pPr>
            <w:r/>
            <w:r>
              <w:rPr>
                <w:b/>
                <w:color w:val="FFFFFF"/>
                <w:sz w:val="19"/>
              </w:rPr>
              <w:t>Reason (existing client / active proposal / do not contact)</w:t>
            </w:r>
          </w:p>
        </w:tc>
      </w:tr>
      <w:tr>
        <w:tc>
          <w:tcPr>
            <w:tcW w:type="dxa" w:w="3264"/>
            <w:tcMar>
              <w:top w:w="60" w:type="dxa"/>
              <w:start w:w="100" w:type="dxa"/>
              <w:bottom w:w="60" w:type="dxa"/>
              <w:end w:w="100" w:type="dxa"/>
            </w:tcMar>
          </w:tcPr>
          <w:p>
            <w:pPr>
              <w:spacing w:after="0"/>
            </w:pPr>
            <w:r/>
            <w:r>
              <w:rPr>
                <w:rFonts w:ascii="Calibri" w:hAnsi="Calibri"/>
                <w:sz w:val="19"/>
              </w:rPr>
              <w:t>1</w:t>
            </w:r>
          </w:p>
        </w:tc>
        <w:tc>
          <w:tcPr>
            <w:tcW w:type="dxa" w:w="3264"/>
            <w:tcMar>
              <w:top w:w="60" w:type="dxa"/>
              <w:start w:w="100" w:type="dxa"/>
              <w:bottom w:w="60" w:type="dxa"/>
              <w:end w:w="100" w:type="dxa"/>
            </w:tcMar>
          </w:tcPr>
          <w:p>
            <w:pPr>
              <w:spacing w:after="0"/>
            </w:pPr>
            <w:r/>
            <w:r>
              <w:rPr>
                <w:rFonts w:ascii="Calibri" w:hAnsi="Calibri"/>
                <w:sz w:val="19"/>
              </w:rPr>
            </w:r>
          </w:p>
        </w:tc>
        <w:tc>
          <w:tcPr>
            <w:tcW w:type="dxa" w:w="3264"/>
            <w:tcMar>
              <w:top w:w="60" w:type="dxa"/>
              <w:start w:w="100" w:type="dxa"/>
              <w:bottom w:w="60" w:type="dxa"/>
              <w:end w:w="100" w:type="dxa"/>
            </w:tcMar>
          </w:tcPr>
          <w:p>
            <w:pPr>
              <w:spacing w:after="0"/>
            </w:pPr>
            <w:r/>
            <w:r>
              <w:rPr>
                <w:rFonts w:ascii="Calibri" w:hAnsi="Calibri"/>
                <w:sz w:val="19"/>
              </w:rPr>
            </w:r>
          </w:p>
        </w:tc>
      </w:tr>
      <w:tr>
        <w:tc>
          <w:tcPr>
            <w:tcW w:type="dxa" w:w="3264"/>
            <w:shd w:val="clear" w:color="auto" w:fill="F5F3FF"/>
            <w:tcMar>
              <w:top w:w="60" w:type="dxa"/>
              <w:start w:w="100" w:type="dxa"/>
              <w:bottom w:w="60" w:type="dxa"/>
              <w:end w:w="100" w:type="dxa"/>
            </w:tcMar>
          </w:tcPr>
          <w:p>
            <w:pPr>
              <w:spacing w:after="0"/>
            </w:pPr>
            <w:r/>
            <w:r>
              <w:rPr>
                <w:rFonts w:ascii="Calibri" w:hAnsi="Calibri"/>
                <w:sz w:val="19"/>
              </w:rPr>
              <w:t>2</w:t>
            </w:r>
          </w:p>
        </w:tc>
        <w:tc>
          <w:tcPr>
            <w:tcW w:type="dxa" w:w="3264"/>
            <w:shd w:val="clear" w:color="auto" w:fill="F5F3FF"/>
            <w:tcMar>
              <w:top w:w="60" w:type="dxa"/>
              <w:start w:w="100" w:type="dxa"/>
              <w:bottom w:w="60" w:type="dxa"/>
              <w:end w:w="100" w:type="dxa"/>
            </w:tcMar>
          </w:tcPr>
          <w:p>
            <w:pPr>
              <w:spacing w:after="0"/>
            </w:pPr>
            <w:r/>
            <w:r>
              <w:rPr>
                <w:rFonts w:ascii="Calibri" w:hAnsi="Calibri"/>
                <w:sz w:val="19"/>
              </w:rPr>
            </w:r>
          </w:p>
        </w:tc>
        <w:tc>
          <w:tcPr>
            <w:tcW w:type="dxa" w:w="3264"/>
            <w:shd w:val="clear" w:color="auto" w:fill="F5F3FF"/>
            <w:tcMar>
              <w:top w:w="60" w:type="dxa"/>
              <w:start w:w="100" w:type="dxa"/>
              <w:bottom w:w="60" w:type="dxa"/>
              <w:end w:w="100" w:type="dxa"/>
            </w:tcMar>
          </w:tcPr>
          <w:p>
            <w:pPr>
              <w:spacing w:after="0"/>
            </w:pPr>
            <w:r/>
            <w:r>
              <w:rPr>
                <w:rFonts w:ascii="Calibri" w:hAnsi="Calibri"/>
                <w:sz w:val="19"/>
              </w:rPr>
            </w:r>
          </w:p>
        </w:tc>
      </w:tr>
      <w:tr>
        <w:tc>
          <w:tcPr>
            <w:tcW w:type="dxa" w:w="3264"/>
            <w:tcMar>
              <w:top w:w="60" w:type="dxa"/>
              <w:start w:w="100" w:type="dxa"/>
              <w:bottom w:w="60" w:type="dxa"/>
              <w:end w:w="100" w:type="dxa"/>
            </w:tcMar>
          </w:tcPr>
          <w:p>
            <w:pPr>
              <w:spacing w:after="0"/>
            </w:pPr>
            <w:r/>
            <w:r>
              <w:rPr>
                <w:rFonts w:ascii="Calibri" w:hAnsi="Calibri"/>
                <w:sz w:val="19"/>
              </w:rPr>
              <w:t>3</w:t>
            </w:r>
          </w:p>
        </w:tc>
        <w:tc>
          <w:tcPr>
            <w:tcW w:type="dxa" w:w="3264"/>
            <w:tcMar>
              <w:top w:w="60" w:type="dxa"/>
              <w:start w:w="100" w:type="dxa"/>
              <w:bottom w:w="60" w:type="dxa"/>
              <w:end w:w="100" w:type="dxa"/>
            </w:tcMar>
          </w:tcPr>
          <w:p>
            <w:pPr>
              <w:spacing w:after="0"/>
            </w:pPr>
            <w:r/>
            <w:r>
              <w:rPr>
                <w:rFonts w:ascii="Calibri" w:hAnsi="Calibri"/>
                <w:sz w:val="19"/>
              </w:rPr>
            </w:r>
          </w:p>
        </w:tc>
        <w:tc>
          <w:tcPr>
            <w:tcW w:type="dxa" w:w="3264"/>
            <w:tcMar>
              <w:top w:w="60" w:type="dxa"/>
              <w:start w:w="100" w:type="dxa"/>
              <w:bottom w:w="60" w:type="dxa"/>
              <w:end w:w="100" w:type="dxa"/>
            </w:tcMar>
          </w:tcPr>
          <w:p>
            <w:pPr>
              <w:spacing w:after="0"/>
            </w:pPr>
            <w:r/>
            <w:r>
              <w:rPr>
                <w:rFonts w:ascii="Calibri" w:hAnsi="Calibri"/>
                <w:sz w:val="19"/>
              </w:rPr>
            </w:r>
          </w:p>
        </w:tc>
      </w:tr>
      <w:tr>
        <w:tc>
          <w:tcPr>
            <w:tcW w:type="dxa" w:w="3264"/>
            <w:shd w:val="clear" w:color="auto" w:fill="F5F3FF"/>
            <w:tcMar>
              <w:top w:w="60" w:type="dxa"/>
              <w:start w:w="100" w:type="dxa"/>
              <w:bottom w:w="60" w:type="dxa"/>
              <w:end w:w="100" w:type="dxa"/>
            </w:tcMar>
          </w:tcPr>
          <w:p>
            <w:pPr>
              <w:spacing w:after="0"/>
            </w:pPr>
            <w:r/>
            <w:r>
              <w:rPr>
                <w:rFonts w:ascii="Calibri" w:hAnsi="Calibri"/>
                <w:sz w:val="19"/>
              </w:rPr>
              <w:t>4</w:t>
            </w:r>
          </w:p>
        </w:tc>
        <w:tc>
          <w:tcPr>
            <w:tcW w:type="dxa" w:w="3264"/>
            <w:shd w:val="clear" w:color="auto" w:fill="F5F3FF"/>
            <w:tcMar>
              <w:top w:w="60" w:type="dxa"/>
              <w:start w:w="100" w:type="dxa"/>
              <w:bottom w:w="60" w:type="dxa"/>
              <w:end w:w="100" w:type="dxa"/>
            </w:tcMar>
          </w:tcPr>
          <w:p>
            <w:pPr>
              <w:spacing w:after="0"/>
            </w:pPr>
            <w:r/>
            <w:r>
              <w:rPr>
                <w:rFonts w:ascii="Calibri" w:hAnsi="Calibri"/>
                <w:sz w:val="19"/>
              </w:rPr>
            </w:r>
          </w:p>
        </w:tc>
        <w:tc>
          <w:tcPr>
            <w:tcW w:type="dxa" w:w="3264"/>
            <w:shd w:val="clear" w:color="auto" w:fill="F5F3FF"/>
            <w:tcMar>
              <w:top w:w="60" w:type="dxa"/>
              <w:start w:w="100" w:type="dxa"/>
              <w:bottom w:w="60" w:type="dxa"/>
              <w:end w:w="100" w:type="dxa"/>
            </w:tcMar>
          </w:tcPr>
          <w:p>
            <w:pPr>
              <w:spacing w:after="0"/>
            </w:pPr>
            <w:r/>
            <w:r>
              <w:rPr>
                <w:rFonts w:ascii="Calibri" w:hAnsi="Calibri"/>
                <w:sz w:val="19"/>
              </w:rPr>
            </w:r>
          </w:p>
        </w:tc>
      </w:tr>
      <w:tr>
        <w:tc>
          <w:tcPr>
            <w:tcW w:type="dxa" w:w="3264"/>
            <w:tcMar>
              <w:top w:w="60" w:type="dxa"/>
              <w:start w:w="100" w:type="dxa"/>
              <w:bottom w:w="60" w:type="dxa"/>
              <w:end w:w="100" w:type="dxa"/>
            </w:tcMar>
          </w:tcPr>
          <w:p>
            <w:pPr>
              <w:spacing w:after="0"/>
            </w:pPr>
            <w:r/>
            <w:r>
              <w:rPr>
                <w:rFonts w:ascii="Calibri" w:hAnsi="Calibri"/>
                <w:sz w:val="19"/>
              </w:rPr>
              <w:t>5</w:t>
            </w:r>
          </w:p>
        </w:tc>
        <w:tc>
          <w:tcPr>
            <w:tcW w:type="dxa" w:w="3264"/>
            <w:tcMar>
              <w:top w:w="60" w:type="dxa"/>
              <w:start w:w="100" w:type="dxa"/>
              <w:bottom w:w="60" w:type="dxa"/>
              <w:end w:w="100" w:type="dxa"/>
            </w:tcMar>
          </w:tcPr>
          <w:p>
            <w:pPr>
              <w:spacing w:after="0"/>
            </w:pPr>
            <w:r/>
            <w:r>
              <w:rPr>
                <w:rFonts w:ascii="Calibri" w:hAnsi="Calibri"/>
                <w:sz w:val="19"/>
              </w:rPr>
            </w:r>
          </w:p>
        </w:tc>
        <w:tc>
          <w:tcPr>
            <w:tcW w:type="dxa" w:w="3264"/>
            <w:tcMar>
              <w:top w:w="60" w:type="dxa"/>
              <w:start w:w="100" w:type="dxa"/>
              <w:bottom w:w="60" w:type="dxa"/>
              <w:end w:w="100" w:type="dxa"/>
            </w:tcMar>
          </w:tcPr>
          <w:p>
            <w:pPr>
              <w:spacing w:after="0"/>
            </w:pPr>
            <w:r/>
            <w:r>
              <w:rPr>
                <w:rFonts w:ascii="Calibri" w:hAnsi="Calibri"/>
                <w:sz w:val="19"/>
              </w:rPr>
            </w:r>
          </w:p>
        </w:tc>
      </w:tr>
    </w:tbl>
    <w:p>
      <w:pPr>
        <w:spacing w:after="40"/>
      </w:pPr>
    </w:p>
    <w:p>
      <w:pPr>
        <w:spacing w:before="40" w:after="120"/>
        <w:pBdr>
          <w:bottom w:val="single" w:sz="8" w:space="4" w:color="E5E1F5"/>
        </w:pBdr>
      </w:pPr>
    </w:p>
    <w:p>
      <w:r>
        <w:br w:type="page"/>
      </w:r>
    </w:p>
    <w:p>
      <w:pPr>
        <w:spacing w:before="320" w:after="80"/>
        <w:pBdr>
          <w:bottom w:val="single" w:sz="14" w:space="4" w:color="EC4899"/>
        </w:pBdr>
      </w:pPr>
      <w:r>
        <w:rPr>
          <w:b/>
          <w:color w:val="4C1D95"/>
          <w:sz w:val="44"/>
        </w:rPr>
        <w:t>Schedule E — Agreed Trial Period targets</w:t>
      </w:r>
    </w:p>
    <w:p>
      <w:r>
        <w:rPr>
          <w:rFonts w:ascii="Calibri" w:hAnsi="Calibri"/>
          <w:i/>
          <w:sz w:val="21"/>
        </w:rPr>
        <w:t>Complete only if different from the default targets in clause 11.2.</w:t>
      </w:r>
    </w:p>
    <w:tbl>
      <w:tblPr>
        <w:tblStyle w:val="TableGrid"/>
        <w:tblW w:type="auto" w:w="0"/>
        <w:jc w:val="center"/>
        <w:tblLook w:firstColumn="1" w:firstRow="1" w:lastColumn="0" w:lastRow="0" w:noHBand="0" w:noVBand="1" w:val="04A0"/>
      </w:tblPr>
      <w:tblGrid>
        <w:gridCol w:w="4896"/>
        <w:gridCol w:w="4896"/>
      </w:tblGrid>
      <w:tr>
        <w:tc>
          <w:tcPr>
            <w:tcW w:type="dxa" w:w="4896"/>
            <w:shd w:val="clear" w:color="auto" w:fill="4C1D95"/>
            <w:tcMar>
              <w:top w:w="60" w:type="dxa"/>
              <w:start w:w="100" w:type="dxa"/>
              <w:bottom w:w="60" w:type="dxa"/>
              <w:end w:w="100" w:type="dxa"/>
            </w:tcMar>
          </w:tcPr>
          <w:p>
            <w:pPr>
              <w:spacing w:after="0"/>
            </w:pPr>
            <w:r/>
            <w:r>
              <w:rPr>
                <w:b/>
                <w:color w:val="FFFFFF"/>
                <w:sz w:val="19"/>
              </w:rPr>
              <w:t>Metric</w:t>
            </w:r>
          </w:p>
        </w:tc>
        <w:tc>
          <w:tcPr>
            <w:tcW w:type="dxa" w:w="4896"/>
            <w:shd w:val="clear" w:color="auto" w:fill="4C1D95"/>
            <w:tcMar>
              <w:top w:w="60" w:type="dxa"/>
              <w:start w:w="100" w:type="dxa"/>
              <w:bottom w:w="60" w:type="dxa"/>
              <w:end w:w="100" w:type="dxa"/>
            </w:tcMar>
          </w:tcPr>
          <w:p>
            <w:pPr>
              <w:spacing w:after="0"/>
            </w:pPr>
            <w:r/>
            <w:r>
              <w:rPr>
                <w:b/>
                <w:color w:val="FFFFFF"/>
                <w:sz w:val="19"/>
              </w:rPr>
              <w:t>Agreed target</w:t>
            </w:r>
          </w:p>
        </w:tc>
      </w:tr>
      <w:tr>
        <w:tc>
          <w:tcPr>
            <w:tcW w:type="dxa" w:w="4896"/>
            <w:tcMar>
              <w:top w:w="60" w:type="dxa"/>
              <w:start w:w="100" w:type="dxa"/>
              <w:bottom w:w="60" w:type="dxa"/>
              <w:end w:w="100" w:type="dxa"/>
            </w:tcMar>
          </w:tcPr>
          <w:p>
            <w:pPr>
              <w:spacing w:after="0"/>
            </w:pPr>
            <w:r/>
            <w:r>
              <w:rPr>
                <w:rFonts w:ascii="Calibri" w:hAnsi="Calibri"/>
                <w:sz w:val="19"/>
              </w:rPr>
              <w:t>Qualified Leads registered</w:t>
            </w:r>
          </w:p>
        </w:tc>
        <w:tc>
          <w:tcPr>
            <w:tcW w:type="dxa" w:w="4896"/>
            <w:tcMar>
              <w:top w:w="60" w:type="dxa"/>
              <w:start w:w="100" w:type="dxa"/>
              <w:bottom w:w="60" w:type="dxa"/>
              <w:end w:w="100" w:type="dxa"/>
            </w:tcMar>
          </w:tcPr>
          <w:p>
            <w:pPr>
              <w:spacing w:after="0"/>
            </w:pPr>
            <w:r/>
            <w:r>
              <w:rPr>
                <w:rFonts w:ascii="Calibri" w:hAnsi="Calibri"/>
                <w:sz w:val="19"/>
              </w:rPr>
              <w:t>20</w:t>
            </w:r>
          </w:p>
        </w:tc>
      </w:tr>
      <w:tr>
        <w:tc>
          <w:tcPr>
            <w:tcW w:type="dxa" w:w="4896"/>
            <w:shd w:val="clear" w:color="auto" w:fill="F5F3FF"/>
            <w:tcMar>
              <w:top w:w="60" w:type="dxa"/>
              <w:start w:w="100" w:type="dxa"/>
              <w:bottom w:w="60" w:type="dxa"/>
              <w:end w:w="100" w:type="dxa"/>
            </w:tcMar>
          </w:tcPr>
          <w:p>
            <w:pPr>
              <w:spacing w:after="0"/>
            </w:pPr>
            <w:r/>
            <w:r>
              <w:rPr>
                <w:rFonts w:ascii="Calibri" w:hAnsi="Calibri"/>
                <w:sz w:val="19"/>
              </w:rPr>
              <w:t>Leads contacted</w:t>
            </w:r>
          </w:p>
        </w:tc>
        <w:tc>
          <w:tcPr>
            <w:tcW w:type="dxa" w:w="4896"/>
            <w:shd w:val="clear" w:color="auto" w:fill="F5F3FF"/>
            <w:tcMar>
              <w:top w:w="60" w:type="dxa"/>
              <w:start w:w="100" w:type="dxa"/>
              <w:bottom w:w="60" w:type="dxa"/>
              <w:end w:w="100" w:type="dxa"/>
            </w:tcMar>
          </w:tcPr>
          <w:p>
            <w:pPr>
              <w:spacing w:after="0"/>
            </w:pPr>
            <w:r/>
            <w:r>
              <w:rPr>
                <w:rFonts w:ascii="Calibri" w:hAnsi="Calibri"/>
                <w:sz w:val="19"/>
              </w:rPr>
              <w:t>20</w:t>
            </w:r>
          </w:p>
        </w:tc>
      </w:tr>
      <w:tr>
        <w:tc>
          <w:tcPr>
            <w:tcW w:type="dxa" w:w="4896"/>
            <w:tcMar>
              <w:top w:w="60" w:type="dxa"/>
              <w:start w:w="100" w:type="dxa"/>
              <w:bottom w:w="60" w:type="dxa"/>
              <w:end w:w="100" w:type="dxa"/>
            </w:tcMar>
          </w:tcPr>
          <w:p>
            <w:pPr>
              <w:spacing w:after="0"/>
            </w:pPr>
            <w:r/>
            <w:r>
              <w:rPr>
                <w:rFonts w:ascii="Calibri" w:hAnsi="Calibri"/>
                <w:sz w:val="19"/>
              </w:rPr>
              <w:t>Discovery calls held</w:t>
            </w:r>
          </w:p>
        </w:tc>
        <w:tc>
          <w:tcPr>
            <w:tcW w:type="dxa" w:w="4896"/>
            <w:tcMar>
              <w:top w:w="60" w:type="dxa"/>
              <w:start w:w="100" w:type="dxa"/>
              <w:bottom w:w="60" w:type="dxa"/>
              <w:end w:w="100" w:type="dxa"/>
            </w:tcMar>
          </w:tcPr>
          <w:p>
            <w:pPr>
              <w:spacing w:after="0"/>
            </w:pPr>
            <w:r/>
            <w:r>
              <w:rPr>
                <w:rFonts w:ascii="Calibri" w:hAnsi="Calibri"/>
                <w:sz w:val="19"/>
              </w:rPr>
              <w:t>6</w:t>
            </w:r>
          </w:p>
        </w:tc>
      </w:tr>
      <w:tr>
        <w:tc>
          <w:tcPr>
            <w:tcW w:type="dxa" w:w="4896"/>
            <w:shd w:val="clear" w:color="auto" w:fill="F5F3FF"/>
            <w:tcMar>
              <w:top w:w="60" w:type="dxa"/>
              <w:start w:w="100" w:type="dxa"/>
              <w:bottom w:w="60" w:type="dxa"/>
              <w:end w:w="100" w:type="dxa"/>
            </w:tcMar>
          </w:tcPr>
          <w:p>
            <w:pPr>
              <w:spacing w:after="0"/>
            </w:pPr>
            <w:r/>
            <w:r>
              <w:rPr>
                <w:rFonts w:ascii="Calibri" w:hAnsi="Calibri"/>
                <w:sz w:val="19"/>
              </w:rPr>
              <w:t>Proposals issued</w:t>
            </w:r>
          </w:p>
        </w:tc>
        <w:tc>
          <w:tcPr>
            <w:tcW w:type="dxa" w:w="4896"/>
            <w:shd w:val="clear" w:color="auto" w:fill="F5F3FF"/>
            <w:tcMar>
              <w:top w:w="60" w:type="dxa"/>
              <w:start w:w="100" w:type="dxa"/>
              <w:bottom w:w="60" w:type="dxa"/>
              <w:end w:w="100" w:type="dxa"/>
            </w:tcMar>
          </w:tcPr>
          <w:p>
            <w:pPr>
              <w:spacing w:after="0"/>
            </w:pPr>
            <w:r/>
            <w:r>
              <w:rPr>
                <w:rFonts w:ascii="Calibri" w:hAnsi="Calibri"/>
                <w:sz w:val="19"/>
              </w:rPr>
              <w:t>4</w:t>
            </w:r>
          </w:p>
        </w:tc>
      </w:tr>
      <w:tr>
        <w:tc>
          <w:tcPr>
            <w:tcW w:type="dxa" w:w="4896"/>
            <w:tcMar>
              <w:top w:w="60" w:type="dxa"/>
              <w:start w:w="100" w:type="dxa"/>
              <w:bottom w:w="60" w:type="dxa"/>
              <w:end w:w="100" w:type="dxa"/>
            </w:tcMar>
          </w:tcPr>
          <w:p>
            <w:pPr>
              <w:spacing w:after="0"/>
            </w:pPr>
            <w:r/>
            <w:r>
              <w:rPr>
                <w:rFonts w:ascii="Calibri" w:hAnsi="Calibri"/>
                <w:sz w:val="19"/>
              </w:rPr>
              <w:t>Projects closed</w:t>
            </w:r>
          </w:p>
        </w:tc>
        <w:tc>
          <w:tcPr>
            <w:tcW w:type="dxa" w:w="4896"/>
            <w:tcMar>
              <w:top w:w="60" w:type="dxa"/>
              <w:start w:w="100" w:type="dxa"/>
              <w:bottom w:w="60" w:type="dxa"/>
              <w:end w:w="100" w:type="dxa"/>
            </w:tcMar>
          </w:tcPr>
          <w:p>
            <w:pPr>
              <w:spacing w:after="0"/>
            </w:pPr>
            <w:r/>
            <w:r>
              <w:rPr>
                <w:rFonts w:ascii="Calibri" w:hAnsi="Calibri"/>
                <w:sz w:val="19"/>
              </w:rPr>
              <w:t>1</w:t>
            </w:r>
          </w:p>
        </w:tc>
      </w:tr>
      <w:tr>
        <w:tc>
          <w:tcPr>
            <w:tcW w:type="dxa" w:w="4896"/>
            <w:shd w:val="clear" w:color="auto" w:fill="F5F3FF"/>
            <w:tcMar>
              <w:top w:w="60" w:type="dxa"/>
              <w:start w:w="100" w:type="dxa"/>
              <w:bottom w:w="60" w:type="dxa"/>
              <w:end w:w="100" w:type="dxa"/>
            </w:tcMar>
          </w:tcPr>
          <w:p>
            <w:pPr>
              <w:spacing w:after="0"/>
            </w:pPr>
            <w:r/>
            <w:r>
              <w:rPr>
                <w:rFonts w:ascii="Calibri" w:hAnsi="Calibri"/>
                <w:sz w:val="19"/>
              </w:rPr>
              <w:t>Other</w:t>
            </w:r>
          </w:p>
        </w:tc>
        <w:tc>
          <w:tcPr>
            <w:tcW w:type="dxa" w:w="4896"/>
            <w:shd w:val="clear" w:color="auto" w:fill="F5F3FF"/>
            <w:tcMar>
              <w:top w:w="60" w:type="dxa"/>
              <w:start w:w="100" w:type="dxa"/>
              <w:bottom w:w="60" w:type="dxa"/>
              <w:end w:w="100" w:type="dxa"/>
            </w:tcMar>
          </w:tcPr>
          <w:p>
            <w:pPr>
              <w:spacing w:after="0"/>
            </w:pPr>
            <w:r/>
            <w:r>
              <w:rPr>
                <w:rFonts w:ascii="Calibri" w:hAnsi="Calibri"/>
                <w:sz w:val="19"/>
              </w:rPr>
            </w:r>
          </w:p>
        </w:tc>
      </w:tr>
    </w:tbl>
    <w:p>
      <w:pPr>
        <w:spacing w:after="40"/>
      </w:pPr>
    </w:p>
    <w:p>
      <w:pPr>
        <w:spacing w:before="40" w:after="120"/>
        <w:pBdr>
          <w:bottom w:val="single" w:sz="8" w:space="4" w:color="E5E1F5"/>
        </w:pBdr>
      </w:pPr>
    </w:p>
    <w:p>
      <w:r>
        <w:br w:type="page"/>
      </w:r>
    </w:p>
    <w:p>
      <w:pPr>
        <w:spacing w:before="320" w:after="80"/>
        <w:pBdr>
          <w:bottom w:val="single" w:sz="14" w:space="4" w:color="EC4899"/>
        </w:pBdr>
      </w:pPr>
      <w:r>
        <w:rPr>
          <w:b/>
          <w:color w:val="4C1D95"/>
          <w:sz w:val="44"/>
        </w:rPr>
        <w:t>Signatures</w:t>
      </w:r>
    </w:p>
    <w:p>
      <w:r>
        <w:rPr>
          <w:rFonts w:ascii="Calibri" w:hAnsi="Calibri"/>
          <w:b/>
          <w:color w:val="4C1D95"/>
          <w:sz w:val="21"/>
        </w:rPr>
        <w:t>Signed for and on behalf of Devzard</w:t>
      </w:r>
    </w:p>
    <w:tbl>
      <w:tblPr>
        <w:tblStyle w:val="TableGrid"/>
        <w:tblW w:type="auto" w:w="0"/>
        <w:jc w:val="center"/>
        <w:tblLook w:firstColumn="1" w:firstRow="1" w:lastColumn="0" w:lastRow="0" w:noHBand="0" w:noVBand="1" w:val="04A0"/>
      </w:tblPr>
      <w:tblGrid>
        <w:gridCol w:w="4896"/>
        <w:gridCol w:w="4896"/>
      </w:tblGrid>
      <w:tr>
        <w:tc>
          <w:tcPr>
            <w:tcW w:type="dxa" w:w="4896"/>
            <w:tcMar>
              <w:top w:w="60" w:type="dxa"/>
              <w:start w:w="100" w:type="dxa"/>
              <w:bottom w:w="60" w:type="dxa"/>
              <w:end w:w="100" w:type="dxa"/>
            </w:tcMar>
          </w:tcPr>
          <w:p>
            <w:pPr>
              <w:spacing w:after="0"/>
            </w:pPr>
            <w:r/>
            <w:r>
              <w:rPr>
                <w:rFonts w:ascii="Calibri" w:hAnsi="Calibri"/>
                <w:sz w:val="19"/>
              </w:rPr>
              <w:t>Signature</w:t>
            </w:r>
          </w:p>
        </w:tc>
        <w:tc>
          <w:tcPr>
            <w:tcW w:type="dxa" w:w="4896"/>
            <w:tcMar>
              <w:top w:w="60" w:type="dxa"/>
              <w:start w:w="100" w:type="dxa"/>
              <w:bottom w:w="60" w:type="dxa"/>
              <w:end w:w="100" w:type="dxa"/>
            </w:tcMar>
          </w:tcPr>
          <w:p>
            <w:pPr>
              <w:spacing w:after="0"/>
            </w:pPr>
            <w:r/>
            <w:r>
              <w:rPr>
                <w:rFonts w:ascii="Calibri" w:hAnsi="Calibri"/>
                <w:b/>
                <w:color w:val="4C1D95"/>
                <w:sz w:val="19"/>
              </w:rPr>
              <w:t>_</w:t>
            </w:r>
            <w:r>
              <w:rPr>
                <w:rFonts w:ascii="Calibri" w:hAnsi="Calibri"/>
                <w:b/>
                <w:color w:val="4C1D95"/>
                <w:sz w:val="19"/>
              </w:rPr>
              <w:t>_</w:t>
            </w:r>
            <w:r>
              <w:rPr>
                <w:rFonts w:ascii="Calibri" w:hAnsi="Calibri"/>
                <w:b/>
                <w:color w:val="4C1D95"/>
                <w:sz w:val="19"/>
              </w:rPr>
              <w:t>_</w:t>
            </w:r>
            <w:r>
              <w:rPr>
                <w:rFonts w:ascii="Calibri" w:hAnsi="Calibri"/>
                <w:b/>
                <w:color w:val="4C1D95"/>
                <w:sz w:val="19"/>
              </w:rPr>
              <w:t>_</w:t>
            </w:r>
            <w:r>
              <w:rPr>
                <w:rFonts w:ascii="Calibri" w:hAnsi="Calibri"/>
                <w:b/>
                <w:color w:val="4C1D95"/>
                <w:sz w:val="19"/>
              </w:rPr>
              <w:t>_</w:t>
            </w:r>
            <w:r>
              <w:rPr>
                <w:rFonts w:ascii="Calibri" w:hAnsi="Calibri"/>
                <w:b/>
                <w:color w:val="4C1D95"/>
                <w:sz w:val="19"/>
              </w:rPr>
              <w:t>_</w:t>
            </w:r>
          </w:p>
        </w:tc>
      </w:tr>
      <w:tr>
        <w:tc>
          <w:tcPr>
            <w:tcW w:type="dxa" w:w="4896"/>
            <w:shd w:val="clear" w:color="auto" w:fill="F5F3FF"/>
            <w:tcMar>
              <w:top w:w="60" w:type="dxa"/>
              <w:start w:w="100" w:type="dxa"/>
              <w:bottom w:w="60" w:type="dxa"/>
              <w:end w:w="100" w:type="dxa"/>
            </w:tcMar>
          </w:tcPr>
          <w:p>
            <w:pPr>
              <w:spacing w:after="0"/>
            </w:pPr>
            <w:r/>
            <w:r>
              <w:rPr>
                <w:rFonts w:ascii="Calibri" w:hAnsi="Calibri"/>
                <w:sz w:val="19"/>
              </w:rPr>
              <w:t>Name</w:t>
            </w:r>
          </w:p>
        </w:tc>
        <w:tc>
          <w:tcPr>
            <w:tcW w:type="dxa" w:w="4896"/>
            <w:shd w:val="clear" w:color="auto" w:fill="F5F3FF"/>
            <w:tcMar>
              <w:top w:w="60" w:type="dxa"/>
              <w:start w:w="100" w:type="dxa"/>
              <w:bottom w:w="60" w:type="dxa"/>
              <w:end w:w="100" w:type="dxa"/>
            </w:tcMar>
          </w:tcPr>
          <w:p>
            <w:pPr>
              <w:spacing w:after="0"/>
            </w:pPr>
            <w:r/>
            <w:r>
              <w:rPr>
                <w:rFonts w:ascii="Calibri" w:hAnsi="Calibri"/>
                <w:sz w:val="19"/>
              </w:rPr>
            </w:r>
          </w:p>
        </w:tc>
      </w:tr>
      <w:tr>
        <w:tc>
          <w:tcPr>
            <w:tcW w:type="dxa" w:w="4896"/>
            <w:tcMar>
              <w:top w:w="60" w:type="dxa"/>
              <w:start w:w="100" w:type="dxa"/>
              <w:bottom w:w="60" w:type="dxa"/>
              <w:end w:w="100" w:type="dxa"/>
            </w:tcMar>
          </w:tcPr>
          <w:p>
            <w:pPr>
              <w:spacing w:after="0"/>
            </w:pPr>
            <w:r/>
            <w:r>
              <w:rPr>
                <w:rFonts w:ascii="Calibri" w:hAnsi="Calibri"/>
                <w:sz w:val="19"/>
              </w:rPr>
              <w:t>Designation</w:t>
            </w:r>
          </w:p>
        </w:tc>
        <w:tc>
          <w:tcPr>
            <w:tcW w:type="dxa" w:w="4896"/>
            <w:tcMar>
              <w:top w:w="60" w:type="dxa"/>
              <w:start w:w="100" w:type="dxa"/>
              <w:bottom w:w="60" w:type="dxa"/>
              <w:end w:w="100" w:type="dxa"/>
            </w:tcMar>
          </w:tcPr>
          <w:p>
            <w:pPr>
              <w:spacing w:after="0"/>
            </w:pPr>
            <w:r/>
            <w:r>
              <w:rPr>
                <w:rFonts w:ascii="Calibri" w:hAnsi="Calibri"/>
                <w:sz w:val="19"/>
              </w:rPr>
            </w:r>
          </w:p>
        </w:tc>
      </w:tr>
      <w:tr>
        <w:tc>
          <w:tcPr>
            <w:tcW w:type="dxa" w:w="4896"/>
            <w:shd w:val="clear" w:color="auto" w:fill="F5F3FF"/>
            <w:tcMar>
              <w:top w:w="60" w:type="dxa"/>
              <w:start w:w="100" w:type="dxa"/>
              <w:bottom w:w="60" w:type="dxa"/>
              <w:end w:w="100" w:type="dxa"/>
            </w:tcMar>
          </w:tcPr>
          <w:p>
            <w:pPr>
              <w:spacing w:after="0"/>
            </w:pPr>
            <w:r/>
            <w:r>
              <w:rPr>
                <w:rFonts w:ascii="Calibri" w:hAnsi="Calibri"/>
                <w:sz w:val="19"/>
              </w:rPr>
              <w:t>Date</w:t>
            </w:r>
          </w:p>
        </w:tc>
        <w:tc>
          <w:tcPr>
            <w:tcW w:type="dxa" w:w="4896"/>
            <w:shd w:val="clear" w:color="auto" w:fill="F5F3FF"/>
            <w:tcMar>
              <w:top w:w="60" w:type="dxa"/>
              <w:start w:w="100" w:type="dxa"/>
              <w:bottom w:w="60" w:type="dxa"/>
              <w:end w:w="100" w:type="dxa"/>
            </w:tcMar>
          </w:tcPr>
          <w:p>
            <w:pPr>
              <w:spacing w:after="0"/>
            </w:pPr>
            <w:r/>
            <w:r>
              <w:rPr>
                <w:rFonts w:ascii="Calibri" w:hAnsi="Calibri"/>
                <w:sz w:val="19"/>
              </w:rPr>
            </w:r>
          </w:p>
        </w:tc>
      </w:tr>
    </w:tbl>
    <w:p>
      <w:pPr>
        <w:spacing w:after="40"/>
      </w:pPr>
    </w:p>
    <w:p>
      <w:r>
        <w:rPr>
          <w:rFonts w:ascii="Calibri" w:hAnsi="Calibri"/>
          <w:b/>
          <w:color w:val="4C1D95"/>
          <w:sz w:val="21"/>
        </w:rPr>
        <w:t>Signed by the Sales Partner</w:t>
      </w:r>
    </w:p>
    <w:tbl>
      <w:tblPr>
        <w:tblStyle w:val="TableGrid"/>
        <w:tblW w:type="auto" w:w="0"/>
        <w:jc w:val="center"/>
        <w:tblLook w:firstColumn="1" w:firstRow="1" w:lastColumn="0" w:lastRow="0" w:noHBand="0" w:noVBand="1" w:val="04A0"/>
      </w:tblPr>
      <w:tblGrid>
        <w:gridCol w:w="4896"/>
        <w:gridCol w:w="4896"/>
      </w:tblGrid>
      <w:tr>
        <w:tc>
          <w:tcPr>
            <w:tcW w:type="dxa" w:w="4896"/>
            <w:tcMar>
              <w:top w:w="60" w:type="dxa"/>
              <w:start w:w="100" w:type="dxa"/>
              <w:bottom w:w="60" w:type="dxa"/>
              <w:end w:w="100" w:type="dxa"/>
            </w:tcMar>
          </w:tcPr>
          <w:p>
            <w:pPr>
              <w:spacing w:after="0"/>
            </w:pPr>
            <w:r/>
            <w:r>
              <w:rPr>
                <w:rFonts w:ascii="Calibri" w:hAnsi="Calibri"/>
                <w:sz w:val="19"/>
              </w:rPr>
              <w:t>Signature</w:t>
            </w:r>
          </w:p>
        </w:tc>
        <w:tc>
          <w:tcPr>
            <w:tcW w:type="dxa" w:w="4896"/>
            <w:tcMar>
              <w:top w:w="60" w:type="dxa"/>
              <w:start w:w="100" w:type="dxa"/>
              <w:bottom w:w="60" w:type="dxa"/>
              <w:end w:w="100" w:type="dxa"/>
            </w:tcMar>
          </w:tcPr>
          <w:p>
            <w:pPr>
              <w:spacing w:after="0"/>
            </w:pPr>
            <w:r/>
            <w:r>
              <w:rPr>
                <w:rFonts w:ascii="Calibri" w:hAnsi="Calibri"/>
                <w:b/>
                <w:color w:val="4C1D95"/>
                <w:sz w:val="19"/>
              </w:rPr>
              <w:t>_</w:t>
            </w:r>
            <w:r>
              <w:rPr>
                <w:rFonts w:ascii="Calibri" w:hAnsi="Calibri"/>
                <w:b/>
                <w:color w:val="4C1D95"/>
                <w:sz w:val="19"/>
              </w:rPr>
              <w:t>_</w:t>
            </w:r>
            <w:r>
              <w:rPr>
                <w:rFonts w:ascii="Calibri" w:hAnsi="Calibri"/>
                <w:b/>
                <w:color w:val="4C1D95"/>
                <w:sz w:val="19"/>
              </w:rPr>
              <w:t>_</w:t>
            </w:r>
            <w:r>
              <w:rPr>
                <w:rFonts w:ascii="Calibri" w:hAnsi="Calibri"/>
                <w:b/>
                <w:color w:val="4C1D95"/>
                <w:sz w:val="19"/>
              </w:rPr>
              <w:t>_</w:t>
            </w:r>
            <w:r>
              <w:rPr>
                <w:rFonts w:ascii="Calibri" w:hAnsi="Calibri"/>
                <w:b/>
                <w:color w:val="4C1D95"/>
                <w:sz w:val="19"/>
              </w:rPr>
              <w:t>_</w:t>
            </w:r>
            <w:r>
              <w:rPr>
                <w:rFonts w:ascii="Calibri" w:hAnsi="Calibri"/>
                <w:b/>
                <w:color w:val="4C1D95"/>
                <w:sz w:val="19"/>
              </w:rPr>
              <w:t>_</w:t>
            </w:r>
          </w:p>
        </w:tc>
      </w:tr>
      <w:tr>
        <w:tc>
          <w:tcPr>
            <w:tcW w:type="dxa" w:w="4896"/>
            <w:shd w:val="clear" w:color="auto" w:fill="F5F3FF"/>
            <w:tcMar>
              <w:top w:w="60" w:type="dxa"/>
              <w:start w:w="100" w:type="dxa"/>
              <w:bottom w:w="60" w:type="dxa"/>
              <w:end w:w="100" w:type="dxa"/>
            </w:tcMar>
          </w:tcPr>
          <w:p>
            <w:pPr>
              <w:spacing w:after="0"/>
            </w:pPr>
            <w:r/>
            <w:r>
              <w:rPr>
                <w:rFonts w:ascii="Calibri" w:hAnsi="Calibri"/>
                <w:sz w:val="19"/>
              </w:rPr>
              <w:t>Name</w:t>
            </w:r>
          </w:p>
        </w:tc>
        <w:tc>
          <w:tcPr>
            <w:tcW w:type="dxa" w:w="4896"/>
            <w:shd w:val="clear" w:color="auto" w:fill="F5F3FF"/>
            <w:tcMar>
              <w:top w:w="60" w:type="dxa"/>
              <w:start w:w="100" w:type="dxa"/>
              <w:bottom w:w="60" w:type="dxa"/>
              <w:end w:w="100" w:type="dxa"/>
            </w:tcMar>
          </w:tcPr>
          <w:p>
            <w:pPr>
              <w:spacing w:after="0"/>
            </w:pPr>
            <w:r/>
            <w:r>
              <w:rPr>
                <w:rFonts w:ascii="Calibri" w:hAnsi="Calibri"/>
                <w:sz w:val="19"/>
              </w:rPr>
            </w:r>
          </w:p>
        </w:tc>
      </w:tr>
      <w:tr>
        <w:tc>
          <w:tcPr>
            <w:tcW w:type="dxa" w:w="4896"/>
            <w:tcMar>
              <w:top w:w="60" w:type="dxa"/>
              <w:start w:w="100" w:type="dxa"/>
              <w:bottom w:w="60" w:type="dxa"/>
              <w:end w:w="100" w:type="dxa"/>
            </w:tcMar>
          </w:tcPr>
          <w:p>
            <w:pPr>
              <w:spacing w:after="0"/>
            </w:pPr>
            <w:r/>
            <w:r>
              <w:rPr>
                <w:rFonts w:ascii="Calibri" w:hAnsi="Calibri"/>
                <w:sz w:val="19"/>
              </w:rPr>
              <w:t>CNIC / ID No.</w:t>
            </w:r>
          </w:p>
        </w:tc>
        <w:tc>
          <w:tcPr>
            <w:tcW w:type="dxa" w:w="4896"/>
            <w:tcMar>
              <w:top w:w="60" w:type="dxa"/>
              <w:start w:w="100" w:type="dxa"/>
              <w:bottom w:w="60" w:type="dxa"/>
              <w:end w:w="100" w:type="dxa"/>
            </w:tcMar>
          </w:tcPr>
          <w:p>
            <w:pPr>
              <w:spacing w:after="0"/>
            </w:pPr>
            <w:r/>
            <w:r>
              <w:rPr>
                <w:rFonts w:ascii="Calibri" w:hAnsi="Calibri"/>
                <w:sz w:val="19"/>
              </w:rPr>
            </w:r>
          </w:p>
        </w:tc>
      </w:tr>
      <w:tr>
        <w:tc>
          <w:tcPr>
            <w:tcW w:type="dxa" w:w="4896"/>
            <w:shd w:val="clear" w:color="auto" w:fill="F5F3FF"/>
            <w:tcMar>
              <w:top w:w="60" w:type="dxa"/>
              <w:start w:w="100" w:type="dxa"/>
              <w:bottom w:w="60" w:type="dxa"/>
              <w:end w:w="100" w:type="dxa"/>
            </w:tcMar>
          </w:tcPr>
          <w:p>
            <w:pPr>
              <w:spacing w:after="0"/>
            </w:pPr>
            <w:r/>
            <w:r>
              <w:rPr>
                <w:rFonts w:ascii="Calibri" w:hAnsi="Calibri"/>
                <w:sz w:val="19"/>
              </w:rPr>
              <w:t>Date</w:t>
            </w:r>
          </w:p>
        </w:tc>
        <w:tc>
          <w:tcPr>
            <w:tcW w:type="dxa" w:w="4896"/>
            <w:shd w:val="clear" w:color="auto" w:fill="F5F3FF"/>
            <w:tcMar>
              <w:top w:w="60" w:type="dxa"/>
              <w:start w:w="100" w:type="dxa"/>
              <w:bottom w:w="60" w:type="dxa"/>
              <w:end w:w="100" w:type="dxa"/>
            </w:tcMar>
          </w:tcPr>
          <w:p>
            <w:pPr>
              <w:spacing w:after="0"/>
            </w:pPr>
            <w:r/>
            <w:r>
              <w:rPr>
                <w:rFonts w:ascii="Calibri" w:hAnsi="Calibri"/>
                <w:sz w:val="19"/>
              </w:rPr>
            </w:r>
          </w:p>
        </w:tc>
      </w:tr>
    </w:tbl>
    <w:p>
      <w:pPr>
        <w:spacing w:after="40"/>
      </w:pPr>
    </w:p>
    <w:p>
      <w:pPr>
        <w:spacing w:before="40" w:after="120"/>
        <w:pBdr>
          <w:bottom w:val="single" w:sz="8" w:space="4" w:color="E5E1F5"/>
        </w:pBdr>
      </w:pPr>
    </w:p>
    <w:tbl>
      <w:tblPr>
        <w:tblW w:type="auto" w:w="0"/>
        <w:jc w:val="center"/>
        <w:tblLook w:firstColumn="1" w:firstRow="1" w:lastColumn="0" w:lastRow="0" w:noHBand="0" w:noVBand="1" w:val="04A0"/>
      </w:tblPr>
      <w:tblGrid>
        <w:gridCol w:w="9792"/>
      </w:tblGrid>
      <w:tr>
        <w:tc>
          <w:tcPr>
            <w:tcW w:type="dxa" w:w="9792"/>
            <w:shd w:val="clear" w:color="auto" w:fill="F5F3FF"/>
            <w:tcMar>
              <w:top w:w="120" w:type="dxa"/>
              <w:start w:w="160" w:type="dxa"/>
              <w:bottom w:w="120" w:type="dxa"/>
              <w:end w:w="160" w:type="dxa"/>
            </w:tcMar>
          </w:tcPr>
          <w:p>
            <w:pPr>
              <w:spacing w:after="80"/>
            </w:pPr>
            <w:r/>
            <w:r>
              <w:rPr>
                <w:rFonts w:ascii="Calibri" w:hAnsi="Calibri"/>
                <w:b/>
                <w:color w:val="4C1D95"/>
                <w:sz w:val="20"/>
              </w:rPr>
              <w:t>Review before signing.</w:t>
            </w:r>
            <w:r>
              <w:rPr>
                <w:rFonts w:ascii="Calibri" w:hAnsi="Calibri"/>
                <w:sz w:val="20"/>
              </w:rPr>
              <w:t xml:space="preserve"> This template is provided as a starting document for the Devzard Sales Partnership Program. It is not legal advice and does not create a lawyer–client relationship. Laws, tax treatment and enforceability vary with your circumstances and change over time. Have it reviewed by a qualified advocate or legal advisor in Pakistan — and adjust the commercial terms in clauses 6, 8 and 9 to match the numbers you have actually agreed — before either Party signs.</w:t>
            </w:r>
          </w:p>
        </w:tc>
      </w:tr>
    </w:tbl>
    <w:p>
      <w:pPr>
        <w:spacing w:after="40"/>
      </w:pPr>
    </w:p>
    <w:sectPr w:rsidR="00FC693F" w:rsidRPr="0006063C" w:rsidSect="00034616">
      <w:pgSz w:w="12240" w:h="15840"/>
      <w:pgMar w:top="1224" w:right="1224" w:bottom="1152"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69" w:lineRule="auto"/>
    </w:pPr>
    <w:rPr>
      <w:rFonts w:ascii="Calibri" w:hAnsi="Calibri"/>
      <w:color w:val="1F2937"/>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