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UCCNC 4th Axis Generator - Design Notes</w:t>
      </w:r>
    </w:p>
    <w:p>
      <w:pPr>
        <w:jc w:val="center"/>
      </w:pPr>
      <w:r>
        <w:rPr>
          <w:b/>
          <w:sz w:val="22"/>
        </w:rPr>
        <w:t>Design rationale for my DIY CC Router</w:t>
      </w:r>
    </w:p>
    <w:p>
      <w:pPr>
        <w:jc w:val="center"/>
      </w:pPr>
      <w:r>
        <w:t>Draft documentation for v2.23</w:t>
      </w:r>
    </w:p>
    <w:p/>
    <w:p>
      <w:pPr>
        <w:pStyle w:val="Heading1"/>
      </w:pPr>
      <w:r>
        <w:t>1. Design intent</w:t>
      </w:r>
    </w:p>
    <w:p>
      <w:r>
        <w:t>This document records the reasoning behind the current machining strategies. It is intended to explain why the generator behaves as it does, particularly where the code contains conservative geometry or seemingly unusual sequencing.</w:t>
      </w:r>
    </w:p>
    <w:p>
      <w:r>
        <w:t>The generator is not intended to reproduce a commercial multi-axis CAM system. It converts a small set of useful rotary woodworking operations into machine-specific, inspectable G-code.</w:t>
      </w:r>
    </w:p>
    <w:p>
      <w:pPr>
        <w:pStyle w:val="Heading1"/>
      </w:pPr>
      <w:r>
        <w:t>2. High-level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D9EAF7"/>
            <w:vAlign w:val="center"/>
          </w:tcPr>
          <w:p>
            <w:pPr>
              <w:spacing w:after="0"/>
            </w:pPr>
            <w:r/>
            <w:r>
              <w:rPr>
                <w:rFonts w:ascii="Aptos" w:hAnsi="Aptos"/>
                <w:b/>
                <w:sz w:val="18"/>
              </w:rPr>
              <w:t>Block</w:t>
            </w:r>
          </w:p>
        </w:tc>
        <w:tc>
          <w:tcPr>
            <w:tcW w:type="dxa" w:w="3960"/>
            <w:shd w:fill="D9EAF7"/>
            <w:vAlign w:val="center"/>
          </w:tcPr>
          <w:p>
            <w:pPr>
              <w:spacing w:after="0"/>
            </w:pPr>
            <w:r/>
            <w:r>
              <w:rPr>
                <w:rFonts w:ascii="Aptos" w:hAnsi="Aptos"/>
                <w:b/>
                <w:sz w:val="18"/>
              </w:rPr>
              <w:t>Responsibility</w:t>
            </w:r>
          </w:p>
        </w:tc>
        <w:tc>
          <w:tcPr>
            <w:tcW w:type="dxa" w:w="4896"/>
            <w:shd w:fill="D9EAF7"/>
            <w:vAlign w:val="center"/>
          </w:tcPr>
          <w:p>
            <w:pPr>
              <w:spacing w:after="0"/>
            </w:pPr>
            <w:r/>
            <w:r>
              <w:rPr>
                <w:rFonts w:ascii="Aptos" w:hAnsi="Aptos"/>
                <w:b/>
                <w:sz w:val="18"/>
              </w:rPr>
              <w:t>Reason for separation</w:t>
            </w:r>
          </w:p>
        </w:tc>
      </w:tr>
      <w:tr>
        <w:tc>
          <w:tcPr>
            <w:tcW w:type="dxa" w:w="1800"/>
            <w:vAlign w:val="top"/>
          </w:tcPr>
          <w:p>
            <w:pPr>
              <w:spacing w:after="0"/>
            </w:pPr>
            <w:r/>
            <w:r>
              <w:rPr>
                <w:rFonts w:ascii="Aptos" w:hAnsi="Aptos"/>
                <w:b w:val="0"/>
                <w:sz w:val="18"/>
              </w:rPr>
              <w:t>Machine constants</w:t>
            </w:r>
          </w:p>
        </w:tc>
        <w:tc>
          <w:tcPr>
            <w:tcW w:type="dxa" w:w="3960"/>
            <w:vAlign w:val="top"/>
          </w:tcPr>
          <w:p>
            <w:pPr>
              <w:spacing w:after="0"/>
            </w:pPr>
            <w:r/>
            <w:r>
              <w:rPr>
                <w:rFonts w:ascii="Aptos" w:hAnsi="Aptos"/>
                <w:b w:val="0"/>
                <w:sz w:val="18"/>
              </w:rPr>
              <w:t>Physical machine limits, datum offsets and hard safety values</w:t>
            </w:r>
          </w:p>
        </w:tc>
        <w:tc>
          <w:tcPr>
            <w:tcW w:type="dxa" w:w="4896"/>
            <w:vAlign w:val="top"/>
          </w:tcPr>
          <w:p>
            <w:pPr>
              <w:spacing w:after="0"/>
            </w:pPr>
            <w:r/>
            <w:r>
              <w:rPr>
                <w:rFonts w:ascii="Aptos" w:hAnsi="Aptos"/>
                <w:b w:val="0"/>
                <w:sz w:val="18"/>
              </w:rPr>
              <w:t>Keeps fixture geometry distinct from job geometry.</w:t>
            </w:r>
          </w:p>
        </w:tc>
      </w:tr>
      <w:tr>
        <w:tc>
          <w:tcPr>
            <w:tcW w:type="dxa" w:w="1800"/>
            <w:vAlign w:val="top"/>
          </w:tcPr>
          <w:p>
            <w:pPr>
              <w:spacing w:after="0"/>
            </w:pPr>
            <w:r/>
            <w:r>
              <w:rPr>
                <w:rFonts w:ascii="Aptos" w:hAnsi="Aptos"/>
                <w:b w:val="0"/>
                <w:sz w:val="18"/>
              </w:rPr>
              <w:t>Common geometry</w:t>
            </w:r>
          </w:p>
        </w:tc>
        <w:tc>
          <w:tcPr>
            <w:tcW w:type="dxa" w:w="3960"/>
            <w:vAlign w:val="top"/>
          </w:tcPr>
          <w:p>
            <w:pPr>
              <w:spacing w:after="0"/>
            </w:pPr>
            <w:r/>
            <w:r>
              <w:rPr>
                <w:rFonts w:ascii="Aptos" w:hAnsi="Aptos"/>
                <w:b w:val="0"/>
                <w:sz w:val="18"/>
              </w:rPr>
              <w:t>Probe conversion, Y validation, safe Z and shared constraints</w:t>
            </w:r>
          </w:p>
        </w:tc>
        <w:tc>
          <w:tcPr>
            <w:tcW w:type="dxa" w:w="4896"/>
            <w:vAlign w:val="top"/>
          </w:tcPr>
          <w:p>
            <w:pPr>
              <w:spacing w:after="0"/>
            </w:pPr>
            <w:r/>
            <w:r>
              <w:rPr>
                <w:rFonts w:ascii="Aptos" w:hAnsi="Aptos"/>
                <w:b w:val="0"/>
                <w:sz w:val="18"/>
              </w:rPr>
              <w:t>Ensures all operations use the same physical machine model.</w:t>
            </w:r>
          </w:p>
        </w:tc>
      </w:tr>
      <w:tr>
        <w:tc>
          <w:tcPr>
            <w:tcW w:type="dxa" w:w="1800"/>
            <w:vAlign w:val="top"/>
          </w:tcPr>
          <w:p>
            <w:pPr>
              <w:spacing w:after="0"/>
            </w:pPr>
            <w:r/>
            <w:r>
              <w:rPr>
                <w:rFonts w:ascii="Aptos" w:hAnsi="Aptos"/>
                <w:b w:val="0"/>
                <w:sz w:val="18"/>
              </w:rPr>
              <w:t>ROUND model</w:t>
            </w:r>
          </w:p>
        </w:tc>
        <w:tc>
          <w:tcPr>
            <w:tcW w:type="dxa" w:w="3960"/>
            <w:vAlign w:val="top"/>
          </w:tcPr>
          <w:p>
            <w:pPr>
              <w:spacing w:after="0"/>
            </w:pPr>
            <w:r/>
            <w:r>
              <w:rPr>
                <w:rFonts w:ascii="Aptos" w:hAnsi="Aptos"/>
                <w:b w:val="0"/>
                <w:sz w:val="18"/>
              </w:rPr>
              <w:t>Square/round stock to finished cylinder</w:t>
            </w:r>
          </w:p>
        </w:tc>
        <w:tc>
          <w:tcPr>
            <w:tcW w:type="dxa" w:w="4896"/>
            <w:vAlign w:val="top"/>
          </w:tcPr>
          <w:p>
            <w:pPr>
              <w:spacing w:after="0"/>
            </w:pPr>
            <w:r/>
            <w:r>
              <w:rPr>
                <w:rFonts w:ascii="Aptos" w:hAnsi="Aptos"/>
                <w:b w:val="0"/>
                <w:sz w:val="18"/>
              </w:rPr>
              <w:t>Provides the base stock geometry for all later operations.</w:t>
            </w:r>
          </w:p>
        </w:tc>
      </w:tr>
      <w:tr>
        <w:tc>
          <w:tcPr>
            <w:tcW w:type="dxa" w:w="1800"/>
            <w:vAlign w:val="top"/>
          </w:tcPr>
          <w:p>
            <w:pPr>
              <w:spacing w:after="0"/>
            </w:pPr>
            <w:r/>
            <w:r>
              <w:rPr>
                <w:rFonts w:ascii="Aptos" w:hAnsi="Aptos"/>
                <w:b w:val="0"/>
                <w:sz w:val="18"/>
              </w:rPr>
              <w:t>WAVE model</w:t>
            </w:r>
          </w:p>
        </w:tc>
        <w:tc>
          <w:tcPr>
            <w:tcW w:type="dxa" w:w="3960"/>
            <w:vAlign w:val="top"/>
          </w:tcPr>
          <w:p>
            <w:pPr>
              <w:spacing w:after="0"/>
            </w:pPr>
            <w:r/>
            <w:r>
              <w:rPr>
                <w:rFonts w:ascii="Aptos" w:hAnsi="Aptos"/>
                <w:b w:val="0"/>
                <w:sz w:val="18"/>
              </w:rPr>
              <w:t>Cosine radial surface and ball-nose compensation</w:t>
            </w:r>
          </w:p>
        </w:tc>
        <w:tc>
          <w:tcPr>
            <w:tcW w:type="dxa" w:w="4896"/>
            <w:vAlign w:val="top"/>
          </w:tcPr>
          <w:p>
            <w:pPr>
              <w:spacing w:after="0"/>
            </w:pPr>
            <w:r/>
            <w:r>
              <w:rPr>
                <w:rFonts w:ascii="Aptos" w:hAnsi="Aptos"/>
                <w:b w:val="0"/>
                <w:sz w:val="18"/>
              </w:rPr>
              <w:t>Encapsulates profile sampling and curvature limits.</w:t>
            </w:r>
          </w:p>
        </w:tc>
      </w:tr>
      <w:tr>
        <w:tc>
          <w:tcPr>
            <w:tcW w:type="dxa" w:w="1800"/>
            <w:vAlign w:val="top"/>
          </w:tcPr>
          <w:p>
            <w:pPr>
              <w:spacing w:after="0"/>
            </w:pPr>
            <w:r/>
            <w:r>
              <w:rPr>
                <w:rFonts w:ascii="Aptos" w:hAnsi="Aptos"/>
                <w:b w:val="0"/>
                <w:sz w:val="18"/>
              </w:rPr>
              <w:t>TAPER model</w:t>
            </w:r>
          </w:p>
        </w:tc>
        <w:tc>
          <w:tcPr>
            <w:tcW w:type="dxa" w:w="3960"/>
            <w:vAlign w:val="top"/>
          </w:tcPr>
          <w:p>
            <w:pPr>
              <w:spacing w:after="0"/>
            </w:pPr>
            <w:r/>
            <w:r>
              <w:rPr>
                <w:rFonts w:ascii="Aptos" w:hAnsi="Aptos"/>
                <w:b w:val="0"/>
                <w:sz w:val="18"/>
              </w:rPr>
              <w:t>Linear radius profile plus indexed-ring roughing</w:t>
            </w:r>
          </w:p>
        </w:tc>
        <w:tc>
          <w:tcPr>
            <w:tcW w:type="dxa" w:w="4896"/>
            <w:vAlign w:val="top"/>
          </w:tcPr>
          <w:p>
            <w:pPr>
              <w:spacing w:after="0"/>
            </w:pPr>
            <w:r/>
            <w:r>
              <w:rPr>
                <w:rFonts w:ascii="Aptos" w:hAnsi="Aptos"/>
                <w:b w:val="0"/>
                <w:sz w:val="18"/>
              </w:rPr>
              <w:t>Provides a simple variable-radius parent surface.</w:t>
            </w:r>
          </w:p>
        </w:tc>
      </w:tr>
      <w:tr>
        <w:tc>
          <w:tcPr>
            <w:tcW w:type="dxa" w:w="1800"/>
            <w:vAlign w:val="top"/>
          </w:tcPr>
          <w:p>
            <w:pPr>
              <w:spacing w:after="0"/>
            </w:pPr>
            <w:r/>
            <w:r>
              <w:rPr>
                <w:rFonts w:ascii="Aptos" w:hAnsi="Aptos"/>
                <w:b w:val="0"/>
                <w:sz w:val="18"/>
              </w:rPr>
              <w:t>GROOVE model</w:t>
            </w:r>
          </w:p>
        </w:tc>
        <w:tc>
          <w:tcPr>
            <w:tcW w:type="dxa" w:w="3960"/>
            <w:vAlign w:val="top"/>
          </w:tcPr>
          <w:p>
            <w:pPr>
              <w:spacing w:after="0"/>
            </w:pPr>
            <w:r/>
            <w:r>
              <w:rPr>
                <w:rFonts w:ascii="Aptos" w:hAnsi="Aptos"/>
                <w:b w:val="0"/>
                <w:sz w:val="18"/>
              </w:rPr>
              <w:t>Helical depth passes on an explicit parent profile</w:t>
            </w:r>
          </w:p>
        </w:tc>
        <w:tc>
          <w:tcPr>
            <w:tcW w:type="dxa" w:w="4896"/>
            <w:vAlign w:val="top"/>
          </w:tcPr>
          <w:p>
            <w:pPr>
              <w:spacing w:after="0"/>
            </w:pPr>
            <w:r/>
            <w:r>
              <w:rPr>
                <w:rFonts w:ascii="Aptos" w:hAnsi="Aptos"/>
                <w:b w:val="0"/>
                <w:sz w:val="18"/>
              </w:rPr>
              <w:t>Lets grooves follow ROUND, WAVE or TAPER without silent source inference.</w:t>
            </w:r>
          </w:p>
        </w:tc>
      </w:tr>
      <w:tr>
        <w:tc>
          <w:tcPr>
            <w:tcW w:type="dxa" w:w="1800"/>
            <w:vAlign w:val="top"/>
          </w:tcPr>
          <w:p>
            <w:pPr>
              <w:spacing w:after="0"/>
            </w:pPr>
            <w:r/>
            <w:r>
              <w:rPr>
                <w:rFonts w:ascii="Aptos" w:hAnsi="Aptos"/>
                <w:b w:val="0"/>
                <w:sz w:val="18"/>
              </w:rPr>
              <w:t>GUI / validation</w:t>
            </w:r>
          </w:p>
        </w:tc>
        <w:tc>
          <w:tcPr>
            <w:tcW w:type="dxa" w:w="3960"/>
            <w:vAlign w:val="top"/>
          </w:tcPr>
          <w:p>
            <w:pPr>
              <w:spacing w:after="0"/>
            </w:pPr>
            <w:r/>
            <w:r>
              <w:rPr>
                <w:rFonts w:ascii="Aptos" w:hAnsi="Aptos"/>
                <w:b w:val="0"/>
                <w:sz w:val="18"/>
              </w:rPr>
              <w:t>Collects inputs and exposes calculated values before generation</w:t>
            </w:r>
          </w:p>
        </w:tc>
        <w:tc>
          <w:tcPr>
            <w:tcW w:type="dxa" w:w="4896"/>
            <w:vAlign w:val="top"/>
          </w:tcPr>
          <w:p>
            <w:pPr>
              <w:spacing w:after="0"/>
            </w:pPr>
            <w:r/>
            <w:r>
              <w:rPr>
                <w:rFonts w:ascii="Aptos" w:hAnsi="Aptos"/>
                <w:b w:val="0"/>
                <w:sz w:val="18"/>
              </w:rPr>
              <w:t>Makes operator intent and invalid states visible before G-code exists.</w:t>
            </w:r>
          </w:p>
        </w:tc>
      </w:tr>
      <w:tr>
        <w:tc>
          <w:tcPr>
            <w:tcW w:type="dxa" w:w="1800"/>
            <w:vAlign w:val="top"/>
          </w:tcPr>
          <w:p>
            <w:pPr>
              <w:spacing w:after="0"/>
            </w:pPr>
            <w:r/>
            <w:r>
              <w:rPr>
                <w:rFonts w:ascii="Aptos" w:hAnsi="Aptos"/>
                <w:b w:val="0"/>
                <w:sz w:val="18"/>
              </w:rPr>
              <w:t>G-code builders</w:t>
            </w:r>
          </w:p>
        </w:tc>
        <w:tc>
          <w:tcPr>
            <w:tcW w:type="dxa" w:w="3960"/>
            <w:vAlign w:val="top"/>
          </w:tcPr>
          <w:p>
            <w:pPr>
              <w:spacing w:after="0"/>
            </w:pPr>
            <w:r/>
            <w:r>
              <w:rPr>
                <w:rFonts w:ascii="Aptos" w:hAnsi="Aptos"/>
                <w:b w:val="0"/>
                <w:sz w:val="18"/>
              </w:rPr>
              <w:t>Translate validated models to standalone UCCNC programs</w:t>
            </w:r>
          </w:p>
        </w:tc>
        <w:tc>
          <w:tcPr>
            <w:tcW w:type="dxa" w:w="4896"/>
            <w:vAlign w:val="top"/>
          </w:tcPr>
          <w:p>
            <w:pPr>
              <w:spacing w:after="0"/>
            </w:pPr>
            <w:r/>
            <w:r>
              <w:rPr>
                <w:rFonts w:ascii="Aptos" w:hAnsi="Aptos"/>
                <w:b w:val="0"/>
                <w:sz w:val="18"/>
              </w:rPr>
              <w:t>Keeps UI state separate from emitted motion commands.</w:t>
            </w:r>
          </w:p>
        </w:tc>
      </w:tr>
    </w:tbl>
    <w:p/>
    <w:p>
      <w:pPr>
        <w:pStyle w:val="Heading1"/>
      </w:pPr>
      <w:r>
        <w:t>3. Machine-coordinate model</w:t>
      </w:r>
    </w:p>
    <w:p>
      <w:r>
        <w:t>XYZ positions are emitted in machine coordinates using G53. The central machine model currently uses:</w:t>
      </w:r>
    </w:p>
    <w:p>
      <w:pPr>
        <w:pStyle w:val="CodeBlock"/>
        <w:spacing w:after="120"/>
      </w:pPr>
      <w:r>
        <w:t>A_CENTER_X = 778.70</w:t>
        <w:br/>
        <w:t>CHUCK_FACE_MACHINE_Y = -70.0</w:t>
        <w:br/>
        <w:t>Y_MACHINE_MIN = 1.0</w:t>
        <w:br/>
        <w:t>Y_MACHINE_MAX = 600.0</w:t>
        <w:br/>
        <w:t>STOCK_LENGTH_MAX = 700.0</w:t>
        <w:br/>
        <w:t>WASTE_CHUCK = 20.0</w:t>
        <w:br/>
        <w:t>WASTE_TAIL = 20.0</w:t>
        <w:br/>
        <w:t>PROBE1_BLOCK_HEIGHT = 40.000</w:t>
        <w:br/>
        <w:t>SPOILBOARD_TO_40120_TOP = 4.862</w:t>
        <w:br/>
        <w:t>LATHE_CARRIAGE_TOP_TO_A_CENTER = 65.000</w:t>
      </w:r>
    </w:p>
    <w:p>
      <w:r>
        <w:t>The physical stock tail coordinate is derived from the chuck-face machine coordinate and the entered physical stock length:</w:t>
      </w:r>
    </w:p>
    <w:p>
      <w:pPr>
        <w:pStyle w:val="CodeBlock"/>
        <w:spacing w:after="120"/>
      </w:pPr>
      <w:r>
        <w:rPr>
          <w:rFonts w:ascii="Consolas" w:hAnsi="Consolas"/>
          <w:sz w:val="18"/>
        </w:rPr>
        <w:t>stock_tail_machine_y = CHUCK_FACE_MACHINE_Y + stock_length</w:t>
      </w:r>
    </w:p>
    <w:p>
      <w:r>
        <w:t>The tail-side machining limit must remain inside that physical tail position by the configured tail waste, and it must also remain inside the hard machine-Y range Y1.0 to Y600.0. Y0 is intentionally not emitted: although it is the nominal end of travel, UCCNC rejects a commanded move exactly on the configured zero soft-limit boundary.</w:t>
      </w:r>
    </w:p>
    <w:p>
      <w:pPr>
        <w:pStyle w:val="Heading1"/>
      </w:pPr>
      <w:r>
        <w:t>4. Cutter-dependent A-centre Z and Probe 1 conversion</w:t>
      </w:r>
    </w:p>
    <w:p>
      <w:r>
        <w:t>A fixed machine Z for the rotary centreline is not stored because the machine Z coordinate of a cutter tip changes with cutter length and stick-out. Directly probing the top of the 40120 rotary bed became awkward once mounted stock obscured the surface, so v2.23 uses the 40 mm single-wire Probe 1 block on the spoilboard as the operational reference.</w:t>
      </w:r>
    </w:p>
    <w:p>
      <w:pPr>
        <w:pStyle w:val="CodeBlock"/>
        <w:spacing w:after="120"/>
      </w:pPr>
      <w:r>
        <w:t>spoilboard_z = raw_probe_z - 40.000</w:t>
        <w:br/>
        <w:t>carriage_top_z = spoilboard_z + 4.862</w:t>
        <w:br/>
        <w:t>A_CENTER_Z = carriage_top_z + 65.000</w:t>
        <w:br/>
        <w:br/>
        <w:t>Therefore:</w:t>
        <w:br/>
        <w:t>A_CENTER_Z = raw_probe_z + 29.862</w:t>
      </w:r>
    </w:p>
    <w:p>
      <w:r>
        <w:t>The operator enters the raw negative G53 Z value shown after probing and must not manually subtract the 40 mm block thickness. The conversion explicitly removes the block height, adds the measured spoilboard-to-40120 step, then adds the known 65 mm rotary centre height. Because the actual cutter performs the touch, cutter stick-out is automatically included. All later Safe Z, ROUND, WAVE, TAPER and GROOVE calculations continue to use the resulting A_CENTER_Z exactly as before.</w:t>
      </w:r>
    </w:p>
    <w:p>
      <w:pPr/>
      <w:r>
        <w:t>The current A-centre X value of 778.70 mm was established by probing opposite sides of a 12 mm steel test rod at A0 and A180 and averaging the inferred centres. The measured chuck/rod eccentricity was consistent with the chuck manufacturer's stated centering precision, so 778.70 mm is treated as the practical calibrated centreline rather than a nominal mounting dimension.</w:t>
      </w:r>
    </w:p>
    <w:p>
      <w:pPr>
        <w:pStyle w:val="Heading1"/>
      </w:pPr>
      <w:r>
        <w:t>5. A-axis phase convention</w:t>
      </w:r>
    </w:p>
    <w:p>
      <w:r>
        <w:t>The original physical stock orientation at A0 is treated as a persistent phase reference. For square stock, A0 is the original required diagonal/corner-up orientation. Equivalent-looking orientations at 90, 180 or 270 degrees are not treated as the original phase when later operations may depend on start angle.</w:t>
      </w:r>
    </w:p>
    <w:p>
      <w:r>
        <w:t>The generator uses literal accumulated A motion. The UCCNC A soft limit was enlarged to +/-3,600,000 degrees, removing the need for periodic G92-based rebasing during normal jobs. WAVE is designed to finish at an exact whole-revolution phase so the original A0 orientation remains meaningful for later operations.</w:t>
      </w:r>
    </w:p>
    <w:p>
      <w:pPr>
        <w:pStyle w:val="Heading1"/>
      </w:pPr>
      <w:r>
        <w:t>6. ROUND strategy</w:t>
      </w:r>
    </w:p>
    <w:p>
      <w:pPr>
        <w:pStyle w:val="Heading2"/>
      </w:pPr>
      <w:r>
        <w:t>6.1 Problem being solved</w:t>
      </w:r>
    </w:p>
    <w:p>
      <w:r>
        <w:t>A square blank cannot safely be treated as a cylinder at its corner radius. A wide cutter can create deep trenches if indexed cuts are spaced too far apart. ROUND therefore models the square cross-section and accepts an indexed stage only when the exposed facet width can be covered by the cutter footprint.</w:t>
      </w:r>
    </w:p>
    <w:p>
      <w:pPr>
        <w:pStyle w:val="Heading2"/>
      </w:pPr>
      <w:r>
        <w:t>6.2 Phase mapping</w:t>
      </w:r>
    </w:p>
    <w:p>
      <w:r>
        <w:t>The polygon mathematics naturally places corners at model angles 45, 135, 225 and 315 degrees. Physical A0, however, is defined as corner-up. The code therefore maps model angle to machine orientation with a 45-degree phase correction.</w:t>
      </w:r>
    </w:p>
    <w:p>
      <w:pPr>
        <w:pStyle w:val="Heading2"/>
      </w:pPr>
      <w:r>
        <w:t>6.3 No-trench indexed stages</w:t>
      </w:r>
    </w:p>
    <w:p>
      <w:r>
        <w:t>The current sequence progressively increases the number of indexed facets. The final constant-radius spiral is allowed only when the residual radial cleanup is small enough to avoid turning the finish pass into an interrupted heavy cut.</w:t>
      </w:r>
    </w:p>
    <w:p>
      <w:pPr>
        <w:pStyle w:val="CodeBlock"/>
        <w:spacing w:after="120"/>
      </w:pPr>
      <w:r>
        <w:rPr>
          <w:rFonts w:ascii="Consolas" w:hAnsi="Consolas"/>
          <w:sz w:val="18"/>
        </w:rPr>
        <w:t>ROUND_SPIRAL_MAX_CLEANUP = 0.50  # radial mm</w:t>
      </w:r>
    </w:p>
    <w:p>
      <w:r>
        <w:t>This is a safety/finish constraint, not a machine envelope limit.</w:t>
      </w:r>
    </w:p>
    <w:p>
      <w:pPr>
        <w:pStyle w:val="Heading1"/>
      </w:pPr>
      <w:r>
        <w:t>7. WAVE strategy</w:t>
      </w:r>
    </w:p>
    <w:p>
      <w:pPr>
        <w:pStyle w:val="Heading2"/>
      </w:pPr>
      <w:r>
        <w:t>7.1 Surface model</w:t>
      </w:r>
    </w:p>
    <w:p>
      <w:r>
        <w:t>WAVE uses a cosine-style radius profile along machine Y. The operator supplies the finished maximum diameter, minimum diameter and signed wave count. The current range is -5 to +5. A zero wave count represents no WAVE operation and is also used as a lock condition for TAPER.</w:t>
      </w:r>
    </w:p>
    <w:p>
      <w:pPr>
        <w:pStyle w:val="Heading2"/>
      </w:pPr>
      <w:r>
        <w:t>7.2 Roughing</w:t>
      </w:r>
    </w:p>
    <w:p>
      <w:r>
        <w:t>Roughing is performed as complete 360-degree rings at discrete Y stations. Deeper finished stations drop out of later sweeps as their target radius is reached. This keeps each roughing move easy to reason about and returns to the same physical A phase after every ring.</w:t>
      </w:r>
    </w:p>
    <w:p>
      <w:pPr>
        <w:pStyle w:val="Heading2"/>
      </w:pPr>
      <w:r>
        <w:t>7.3 Ball-nose finishing</w:t>
      </w:r>
    </w:p>
    <w:p>
      <w:r>
        <w:t>The finishing pass is a continuous helical A+Y+Z motion. Because a ball nose contacts the profile away from its centre on sloped surfaces, the code samples the requested profile and compensates the tool-tip path. A minimum local curve radius is calculated and compared with ball radius; geometry that is too tight for the selected cutter is rejected.</w:t>
      </w:r>
    </w:p>
    <w:p>
      <w:pPr>
        <w:pStyle w:val="Heading2"/>
      </w:pPr>
      <w:r>
        <w:t>7.4 Cutter inheritance</w:t>
      </w:r>
    </w:p>
    <w:p>
      <w:r>
        <w:t>WAVE cutter diameter and flute count initially follow ROUND values for convenience, but become independent once edited. This supports a common workflow where ROUND uses a flat cutter and WAVE switches to a smaller ball nose.</w:t>
      </w:r>
    </w:p>
    <w:p>
      <w:pPr>
        <w:pStyle w:val="Heading1"/>
      </w:pPr>
      <w:r>
        <w:t>8. TAPER strategy</w:t>
      </w:r>
    </w:p>
    <w:p>
      <w:pPr>
        <w:pStyle w:val="Heading2"/>
      </w:pPr>
      <w:r>
        <w:t>8.1 Linear profile model</w:t>
      </w:r>
    </w:p>
    <w:p>
      <w:r>
        <w:t>A taper is defined by start diameter, end diameter, taper Y start and taper Y end. Direction is implicit in the entered diameters; there is intentionally no reverse-taper switch. Both finished diameters must remain at or above MIN_TAPER_DIAMETER = 20 mm.</w:t>
      </w:r>
    </w:p>
    <w:p>
      <w:pPr>
        <w:pStyle w:val="Heading2"/>
      </w:pPr>
      <w:r>
        <w:t>8.2 Why the first roughing strategy was replaced</w:t>
      </w:r>
    </w:p>
    <w:p>
      <w:r>
        <w:t>The initial implementation used repeated full-length helical passes at progressively deeper radial shells. It was safe but created excessive full-length Y travel and poor cycle time.</w:t>
      </w:r>
    </w:p>
    <w:p>
      <w:pPr>
        <w:pStyle w:val="Heading2"/>
      </w:pPr>
      <w:r>
        <w:t>8.3 Current thin-end-first indexed-ring roughing</w:t>
      </w:r>
    </w:p>
    <w:p>
      <w:r>
        <w:t>The current strategy starts at the minimum-diameter end while the work is still supported by thicker uncut material. The cutter then moves toward the thicker end in stations separated by 80 percent of cutter diameter. Each station may use several complete rings if the required radial removal exceeds Max Radial DOC.</w:t>
      </w:r>
    </w:p>
    <w:p>
      <w:pPr>
        <w:pStyle w:val="CodeBlock"/>
        <w:spacing w:after="120"/>
      </w:pPr>
      <w:r>
        <w:rPr>
          <w:rFonts w:ascii="Consolas" w:hAnsi="Consolas"/>
          <w:sz w:val="18"/>
        </w:rPr>
        <w:t>rough_y_step = cutter_diameter * 0.80</w:t>
      </w:r>
    </w:p>
    <w:p>
      <w:r>
        <w:t>A station is not cut blindly to the nominal taper diameter at its centre. The full flat-cutter footprint is considered and the conservative radius across that footprint is used. This leaves a safe staircase outside the final taper rather than gouging a trench below it. One continuous helical finishing pass then removes the staircase.</w:t>
      </w:r>
    </w:p>
    <w:p>
      <w:r>
        <w:t>This method substantially reduces cycle time compared with repeated full-length roughing helices while retaining a simple no-trench rule.</w:t>
      </w:r>
    </w:p>
    <w:p>
      <w:pPr>
        <w:pStyle w:val="Heading1"/>
      </w:pPr>
      <w:r>
        <w:t>9. WAVE / TAPER exclusivity</w:t>
      </w:r>
    </w:p>
    <w:p>
      <w:r>
        <w:t>TAPER is refused whenever WAVE count is non-zero. This prevents two independent variable-radius parent models from being silently stacked. A future general profile-composition system could relax this, but the current code deliberately keeps the workflow explicit.</w:t>
      </w:r>
    </w:p>
    <w:p>
      <w:pPr>
        <w:pStyle w:val="Heading1"/>
      </w:pPr>
      <w:r>
        <w:t>10. GROOVE strategy</w:t>
      </w:r>
    </w:p>
    <w:p>
      <w:pPr>
        <w:pStyle w:val="Heading2"/>
      </w:pPr>
      <w:r>
        <w:t>10.1 Explicit parent selection</w:t>
      </w:r>
    </w:p>
    <w:p>
      <w:r>
        <w:t>GROOVE presents a mandatory operator choice of ROUND, WAVE or TAPER. The software does not auto-detect which surface exists on the workpiece. The selected source is validated before generation.</w:t>
      </w:r>
    </w:p>
    <w:p>
      <w:pPr>
        <w:pStyle w:val="Heading2"/>
      </w:pPr>
      <w:r>
        <w:t>10.2 Parent surface abstraction</w:t>
      </w:r>
    </w:p>
    <w:p>
      <w:r>
        <w:t>The groove path is calculated against the selected local surface radius rather than assuming a single cylinder radius. Conceptually the downstream calculation is:</w:t>
      </w:r>
    </w:p>
    <w:p>
      <w:pPr>
        <w:pStyle w:val="CodeBlock"/>
        <w:spacing w:after="120"/>
      </w:pPr>
      <w:r>
        <w:rPr>
          <w:rFonts w:ascii="Consolas" w:hAnsi="Consolas"/>
          <w:sz w:val="18"/>
        </w:rPr>
        <w:t>groove_tip_radius(y) = parent_surface_radius(y) - groove_depth</w:t>
      </w:r>
    </w:p>
    <w:p>
      <w:r>
        <w:t>For multi-pass grooves, the same helix phase is reused at each deeper DOC pass so a later pass deepens the existing groove rather than cutting a new one.</w:t>
      </w:r>
    </w:p>
    <w:p>
      <w:pPr>
        <w:pStyle w:val="Heading2"/>
      </w:pPr>
      <w:r>
        <w:t>10.3 Multi-start phase handling</w:t>
      </w:r>
    </w:p>
    <w:p>
      <w:r>
        <w:t>Each groove start has a fixed angular phase derived from start angle and start separation. Depth passes are ordered depth-first: all starts at pass 1, then all starts at pass 2, and so on. A may continue accumulating, but each start is aligned to its required phase relative to the original A0 reference.</w:t>
      </w:r>
    </w:p>
    <w:p>
      <w:pPr>
        <w:pStyle w:val="Heading2"/>
      </w:pPr>
      <w:r>
        <w:t>10.4 Cutter-edge protection</w:t>
      </w:r>
    </w:p>
    <w:p>
      <w:r>
        <w:t>GROOVE does not send the cutter centre all the way to the parent profile boundary. To prevent the outer portion of a cutter from striking untouched stock, the centreline is set back from both inherited Y boundaries by 60 percent of cutter diameter.</w:t>
      </w:r>
    </w:p>
    <w:p>
      <w:pPr>
        <w:pStyle w:val="CodeBlock"/>
        <w:spacing w:after="120"/>
      </w:pPr>
      <w:r>
        <w:rPr>
          <w:rFonts w:ascii="Consolas" w:hAnsi="Consolas"/>
          <w:sz w:val="18"/>
        </w:rPr>
        <w:t>GROOVE_EDGE_MARGIN_FACTOR = 0.60</w:t>
        <w:br/>
        <w:br/>
        <w:t>groove_y_start = parent_y_start + cutter_diameter * 0.60</w:t>
        <w:br/>
        <w:t>groove_y_end   = parent_y_end   - cutter_diameter * 0.60</w:t>
      </w:r>
    </w:p>
    <w:p>
      <w:r>
        <w:t>This means at least about 40 percent of the cutter diameter remains over already-machined material at the boundary, with additional margin beyond the bare cutter-radius requirement.</w:t>
      </w:r>
    </w:p>
    <w:p>
      <w:pPr>
        <w:pStyle w:val="Heading1"/>
      </w:pPr>
      <w:r>
        <w:t>11. Minimum-diameter safety</w:t>
      </w:r>
    </w:p>
    <w:p>
      <w:r>
        <w:t>The global minimum finished/root diameter is 20 mm. This applies not only to nominal ROUND or TAPER diameters but also to local groove roots. For variable parent profiles, the minimum is evaluated over the applicable groove envelope rather than from a single nominal diameter.</w:t>
      </w:r>
    </w:p>
    <w:p>
      <w:pPr>
        <w:pStyle w:val="Heading1"/>
      </w:pPr>
      <w:r>
        <w:t>12. Validation hierarchy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D9EAF7"/>
            <w:vAlign w:val="center"/>
          </w:tcPr>
          <w:p>
            <w:pPr>
              <w:spacing w:after="0"/>
            </w:pPr>
            <w:r/>
            <w:r>
              <w:rPr>
                <w:rFonts w:ascii="Aptos" w:hAnsi="Aptos"/>
                <w:b/>
                <w:sz w:val="18"/>
              </w:rPr>
              <w:t>Stage</w:t>
            </w:r>
          </w:p>
        </w:tc>
        <w:tc>
          <w:tcPr>
            <w:tcW w:type="dxa" w:w="9072"/>
            <w:shd w:fill="D9EAF7"/>
            <w:vAlign w:val="center"/>
          </w:tcPr>
          <w:p>
            <w:pPr>
              <w:spacing w:after="0"/>
            </w:pPr>
            <w:r/>
            <w:r>
              <w:rPr>
                <w:rFonts w:ascii="Aptos" w:hAnsi="Aptos"/>
                <w:b/>
                <w:sz w:val="18"/>
              </w:rPr>
              <w:t>Must be true before generation</w:t>
            </w:r>
          </w:p>
        </w:tc>
      </w:tr>
      <w:tr>
        <w:tc>
          <w:tcPr>
            <w:tcW w:type="dxa" w:w="1440"/>
            <w:vAlign w:val="top"/>
          </w:tcPr>
          <w:p>
            <w:pPr>
              <w:spacing w:after="0"/>
            </w:pPr>
            <w:r/>
            <w:r>
              <w:rPr>
                <w:rFonts w:ascii="Aptos" w:hAnsi="Aptos"/>
                <w:b w:val="0"/>
                <w:sz w:val="18"/>
              </w:rPr>
              <w:t>ROUND</w:t>
            </w:r>
          </w:p>
        </w:tc>
        <w:tc>
          <w:tcPr>
            <w:tcW w:type="dxa" w:w="9072"/>
            <w:vAlign w:val="top"/>
          </w:tcPr>
          <w:p>
            <w:r>
              <w:t>Machine configuration valid; stock/finished geometry legal; Y limits legal; raw Probe 1 Z supplied; A0 orientation and rollover confirmations complete.</w:t>
            </w:r>
          </w:p>
        </w:tc>
      </w:tr>
      <w:tr>
        <w:tc>
          <w:tcPr>
            <w:tcW w:type="dxa" w:w="1440"/>
            <w:vAlign w:val="top"/>
          </w:tcPr>
          <w:p>
            <w:pPr>
              <w:spacing w:after="0"/>
            </w:pPr>
            <w:r/>
            <w:r>
              <w:rPr>
                <w:rFonts w:ascii="Aptos" w:hAnsi="Aptos"/>
                <w:b w:val="0"/>
                <w:sz w:val="18"/>
              </w:rPr>
              <w:t>WAVE</w:t>
            </w:r>
          </w:p>
        </w:tc>
        <w:tc>
          <w:tcPr>
            <w:tcW w:type="dxa" w:w="9072"/>
            <w:vAlign w:val="top"/>
          </w:tcPr>
          <w:p>
            <w:r>
              <w:t>ROUND/base geometry valid; WAVE cutter and curvature legal; raw Probe 1 Z supplied; rotary limits legal.</w:t>
            </w:r>
          </w:p>
        </w:tc>
      </w:tr>
      <w:tr>
        <w:tc>
          <w:tcPr>
            <w:tcW w:type="dxa" w:w="1440"/>
            <w:vAlign w:val="top"/>
          </w:tcPr>
          <w:p>
            <w:pPr>
              <w:spacing w:after="0"/>
            </w:pPr>
            <w:r/>
            <w:r>
              <w:rPr>
                <w:rFonts w:ascii="Aptos" w:hAnsi="Aptos"/>
                <w:b w:val="0"/>
                <w:sz w:val="18"/>
              </w:rPr>
              <w:t>TAPER</w:t>
            </w:r>
          </w:p>
        </w:tc>
        <w:tc>
          <w:tcPr>
            <w:tcW w:type="dxa" w:w="9072"/>
            <w:vAlign w:val="top"/>
          </w:tcPr>
          <w:p>
            <w:r>
              <w:t>ROUND/base geometry valid; WAVE count = 0; start/end diameters and Y limits legal; raw Probe 1 Z supplied.</w:t>
            </w:r>
          </w:p>
        </w:tc>
      </w:tr>
      <w:tr>
        <w:tc>
          <w:tcPr>
            <w:tcW w:type="dxa" w:w="1440"/>
            <w:vAlign w:val="top"/>
          </w:tcPr>
          <w:p>
            <w:pPr>
              <w:spacing w:after="0"/>
            </w:pPr>
            <w:r/>
            <w:r>
              <w:rPr>
                <w:rFonts w:ascii="Aptos" w:hAnsi="Aptos"/>
                <w:b w:val="0"/>
                <w:sz w:val="18"/>
              </w:rPr>
              <w:t>GROOVE</w:t>
            </w:r>
          </w:p>
        </w:tc>
        <w:tc>
          <w:tcPr>
            <w:tcW w:type="dxa" w:w="9072"/>
            <w:vAlign w:val="top"/>
          </w:tcPr>
          <w:p>
            <w:r>
              <w:t>Operator-selected source explicitly valid; local root diameter legal; cutter-offset Y envelope non-empty; raw Probe 1 Z and operator confirmations supplied.</w:t>
            </w:r>
          </w:p>
        </w:tc>
      </w:tr>
    </w:tbl>
    <w:p/>
    <w:p>
      <w:pPr>
        <w:pStyle w:val="Heading1"/>
      </w:pPr>
      <w:r>
        <w:t>13. Runtime estimation</w:t>
      </w:r>
    </w:p>
    <w:p>
      <w:r>
        <w:t>Displayed runtime estimates are planning aids. A-axis cutting time can be calculated directly from revolutions and RPM, but short Z and Y moves may never reach configured maximum velocity because acceleration dominates. The estimates should therefore be treated as comparative rather than metrology-grade cycle prediction.</w:t>
      </w:r>
    </w:p>
    <w:p>
      <w:pPr>
        <w:pStyle w:val="Heading1"/>
      </w:pPr>
      <w:r>
        <w:t>14. Calibration revisions through v2.23</w:t>
      </w:r>
    </w:p>
    <w:p>
      <w:pPr/>
      <w:r>
        <w:t>v2.20 moved the calibrated A centreline X from the earlier nominal value to 778.50 mm and changed the intended rotary Y start to Y0. Testing then showed UCCNC rejects a commanded move exactly at the zero soft-limit boundary, so v2.21 established Y_MACHINE_MIN = 1.0 mm. Further opposite-side probing of a 12 mm test rod refined A_CENTER_X to 778.70 mm, and v2.22 adopted the 65.000 mm 40120-to-centre height. v2.23 retained those calibrations but changed the operational tool-height workflow to the spoilboard-based 40 mm Probe 1 conversion, eliminating the need to reach under mounted stock.</w:t>
      </w:r>
    </w:p>
    <w:p>
      <w:pPr>
        <w:pStyle w:val="Heading1"/>
      </w:pPr>
      <w:r>
        <w:t>15. Current boundaries of the design</w:t>
      </w:r>
    </w:p>
    <w:p>
      <w:pPr>
        <w:pStyle w:val="ListBullet"/>
      </w:pPr>
      <w:r>
        <w:t>The spindle does not tilt. TAPER is a practical fixed-spindle result, especially when using large flat cutters.</w:t>
      </w:r>
    </w:p>
    <w:p>
      <w:pPr>
        <w:pStyle w:val="ListBullet"/>
      </w:pPr>
      <w:r>
        <w:t>There is no general-purpose arbitrary profile/spline engine.</w:t>
      </w:r>
    </w:p>
    <w:p>
      <w:pPr>
        <w:pStyle w:val="ListBullet"/>
      </w:pPr>
      <w:r>
        <w:t>There is no automatic proof that GUI values still match a physical part machined days earlier.</w:t>
      </w:r>
    </w:p>
    <w:p>
      <w:pPr>
        <w:pStyle w:val="ListBullet"/>
      </w:pPr>
      <w:r>
        <w:t>There is no current saved job recipe or stage-completion history.</w:t>
      </w:r>
    </w:p>
    <w:p>
      <w:pPr>
        <w:pStyle w:val="ListBullet"/>
      </w:pPr>
      <w:r>
        <w:t>The code is intentionally machine-specific and should not be presented as safe for another machine without re-measuring its geometry.</w:t>
      </w:r>
    </w:p>
    <w:p>
      <w:pPr>
        <w:pStyle w:val="Heading1"/>
      </w:pPr>
      <w:r>
        <w:t>16. Backlog ideas</w:t>
      </w:r>
    </w:p>
    <w:p>
      <w:pPr>
        <w:pStyle w:val="ListBullet"/>
      </w:pPr>
      <w:r>
        <w:t>Saved job recipe / provenance record for disjointed multi-day workflows.</w:t>
      </w:r>
    </w:p>
    <w:p>
      <w:pPr>
        <w:pStyle w:val="ListBullet"/>
      </w:pPr>
      <w:r>
        <w:t>Practical minimum cutter-diameter floor.</w:t>
      </w:r>
    </w:p>
    <w:p>
      <w:pPr>
        <w:pStyle w:val="ListBullet"/>
      </w:pPr>
      <w:r>
        <w:t>Spherical/convex profile segment ("ball on a stick").</w:t>
      </w:r>
    </w:p>
    <w:p>
      <w:pPr>
        <w:pStyle w:val="ListBullet"/>
      </w:pPr>
      <w:r>
        <w:t>Further WAVE roughing cycle-time optimisation after geometry remains stable.</w:t>
      </w:r>
    </w:p>
    <w:p>
      <w:pPr>
        <w:pStyle w:val="ListBullet"/>
      </w:pPr>
      <w:r>
        <w:t>Publishing cleanup: configuration separation, README examples, changelog and source-level rationale comments.</w:t>
      </w:r>
    </w:p>
    <w:p>
      <w:pPr>
        <w:pStyle w:val="ListBullet"/>
      </w:pPr>
      <w:r>
        <w:t>Potential future emboss/pattern operation for repeated motifs around a cylinder.</w:t>
      </w:r>
    </w:p>
    <w:p>
      <w:pPr>
        <w:pStyle w:val="Heading1"/>
      </w:pPr>
      <w:r>
        <w:t>17. Source-commenting policy for publication</w:t>
      </w:r>
    </w:p>
    <w:p>
      <w:r>
        <w:t>When the source is prepared for public release, comments should explain non-obvious intent and safety reasoning rather than restating Python syntax. Good candidates for detailed inline comments are the no-trench calculations, A0 phase mapping, raw-Probe-1-to-A-centre conversion, taper cutter-footprint protection, groove source selection and edge setback.</w:t>
      </w:r>
    </w:p>
    <w:sectPr>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UCCNC 4th Axis Generator - Design Notes</dc:title>
  <dc:subject>Anonymous design notes for v2.23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