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E517A" w14:textId="77777777" w:rsidR="00D54421" w:rsidRDefault="00D54421" w:rsidP="008E0722">
      <w:pPr>
        <w:rPr>
          <w:rFonts w:asciiTheme="majorHAnsi" w:eastAsiaTheme="majorEastAsia" w:hAnsiTheme="majorHAnsi" w:cstheme="majorBidi"/>
          <w:color w:val="2F5496" w:themeColor="accent1" w:themeShade="BF"/>
          <w:sz w:val="32"/>
          <w:szCs w:val="32"/>
        </w:rPr>
      </w:pPr>
      <w:r w:rsidRPr="00D54421">
        <w:rPr>
          <w:rFonts w:asciiTheme="majorHAnsi" w:eastAsiaTheme="majorEastAsia" w:hAnsiTheme="majorHAnsi" w:cstheme="majorBidi"/>
          <w:color w:val="2F5496" w:themeColor="accent1" w:themeShade="BF"/>
          <w:sz w:val="32"/>
          <w:szCs w:val="32"/>
        </w:rPr>
        <w:t>Monuril® fosfomycin (as trometamol) 3g per sachet granules for oral solution</w:t>
      </w:r>
    </w:p>
    <w:p w14:paraId="4AB8CA5A" w14:textId="77777777" w:rsidR="00D74AAD" w:rsidRDefault="008E0722" w:rsidP="008E0722">
      <w:r>
        <w:t xml:space="preserve">Link to SmPC: </w:t>
      </w:r>
      <w:r w:rsidR="002C6DE5">
        <w:t xml:space="preserve">Can’t find EMA version so using the UK version </w:t>
      </w:r>
    </w:p>
    <w:p w14:paraId="6993B827" w14:textId="2E37ABA6" w:rsidR="008E0722" w:rsidRDefault="002C6DE5" w:rsidP="008E0722">
      <w:hyperlink r:id="rId6" w:anchor="gref" w:history="1">
        <w:r>
          <w:rPr>
            <w:rStyle w:val="Hyperlink"/>
          </w:rPr>
          <w:t>Monuril 3g granules for oral solution - Summary of Product Characteristics (SmPC) - (emc) (medicines.org.uk)</w:t>
        </w:r>
      </w:hyperlink>
    </w:p>
    <w:p w14:paraId="28C0C7B0" w14:textId="78045574" w:rsidR="00D74AAD" w:rsidRDefault="00D74AAD" w:rsidP="008E0722">
      <w:hyperlink r:id="rId7" w:history="1">
        <w:r>
          <w:rPr>
            <w:rStyle w:val="Hyperlink"/>
          </w:rPr>
          <w:t>Fosfomycin «Infectopharm» - Felleskatalogen</w:t>
        </w:r>
      </w:hyperlink>
    </w:p>
    <w:p w14:paraId="594F3CF9" w14:textId="1AE8D487" w:rsidR="00D6621A" w:rsidRPr="008E0722" w:rsidRDefault="00D6621A" w:rsidP="008E0722">
      <w:hyperlink r:id="rId8" w:history="1">
        <w:r>
          <w:rPr>
            <w:rStyle w:val="Hyperlink"/>
          </w:rPr>
          <w:t>DailyMed - FOSFOMYCIN TROMETHAMINE powder (nih.gov)</w:t>
        </w:r>
      </w:hyperlink>
    </w:p>
    <w:p w14:paraId="5CFCF9C9" w14:textId="1464A93F" w:rsidR="002F7AD9" w:rsidRDefault="00E26C66" w:rsidP="002F7AD9">
      <w:pPr>
        <w:rPr>
          <w:rStyle w:val="Hyperlink"/>
        </w:rPr>
      </w:pPr>
      <w:r>
        <w:t xml:space="preserve">Link to FHIR R5 </w:t>
      </w:r>
      <w:hyperlink r:id="rId9" w:history="1">
        <w:r w:rsidRPr="00E26C66">
          <w:rPr>
            <w:rStyle w:val="Hyperlink"/>
          </w:rPr>
          <w:t>(4.6.0) resources</w:t>
        </w:r>
      </w:hyperlink>
    </w:p>
    <w:p w14:paraId="68546045" w14:textId="5A2C5C26" w:rsidR="00A30952" w:rsidRDefault="00A30952" w:rsidP="00A30952">
      <w:r w:rsidRPr="00A30952">
        <w:t>Link to Skilarence template:</w:t>
      </w:r>
      <w:r>
        <w:t xml:space="preserve"> </w:t>
      </w:r>
      <w:hyperlink r:id="rId10" w:history="1">
        <w:r>
          <w:rPr>
            <w:rStyle w:val="Hyperlink"/>
          </w:rPr>
          <w:t>gravitate-health/input/fsh/Suliqua-instances-en at master · hl7-eu/gravitate-health (github.com)</w:t>
        </w:r>
      </w:hyperlink>
    </w:p>
    <w:p w14:paraId="70077F2A" w14:textId="59568C62" w:rsidR="002F7AD9" w:rsidRDefault="002F7AD9" w:rsidP="002F7AD9">
      <w:pPr>
        <w:pStyle w:val="Heading1"/>
      </w:pPr>
      <w:r>
        <w:t>Bundle</w:t>
      </w:r>
    </w:p>
    <w:p w14:paraId="5B03795D" w14:textId="37F4E87C" w:rsidR="00D54421" w:rsidRDefault="00F800DE" w:rsidP="00D54421">
      <w:r>
        <w:t xml:space="preserve">Package leaflet </w:t>
      </w:r>
      <w:r w:rsidRPr="003649E0">
        <w:t xml:space="preserve">Monuril 3 g granules </w:t>
      </w:r>
      <w:r>
        <w:t>(would be two but we’re focusing on patients so only need the leaflet))</w:t>
      </w:r>
    </w:p>
    <w:p w14:paraId="46814370" w14:textId="57971B69" w:rsidR="002F7AD9" w:rsidRDefault="002F7AD9" w:rsidP="002F7AD9">
      <w:pPr>
        <w:pStyle w:val="Heading1"/>
      </w:pPr>
      <w:r>
        <w:t>Composition</w:t>
      </w:r>
    </w:p>
    <w:p w14:paraId="6AE00337" w14:textId="77777777" w:rsidR="009B4B70" w:rsidRDefault="009B4B70" w:rsidP="009B4B70">
      <w:r>
        <w:t xml:space="preserve">Package leaflet </w:t>
      </w:r>
      <w:r w:rsidRPr="003649E0">
        <w:t>Monuril 3 g granules</w:t>
      </w:r>
    </w:p>
    <w:p w14:paraId="2EE83C3C" w14:textId="77777777" w:rsidR="009B4B70" w:rsidRDefault="009B4B70" w:rsidP="009B4B70">
      <w:r w:rsidRPr="001751AB">
        <w:rPr>
          <w:highlight w:val="yellow"/>
        </w:rPr>
        <w:t xml:space="preserve">For patient safety reasons I recommend that going forward we use dummy text in the composition. Don’t want these test ePIs to get mixed up with the </w:t>
      </w:r>
      <w:r w:rsidRPr="00635F33">
        <w:rPr>
          <w:highlight w:val="yellow"/>
        </w:rPr>
        <w:t>real thing. Can just use Lorum ipsum text:</w:t>
      </w:r>
    </w:p>
    <w:p w14:paraId="1E5B88F7" w14:textId="77777777" w:rsidR="009B4B70" w:rsidRPr="001751AB" w:rsidRDefault="009B4B70" w:rsidP="009B4B70">
      <w:pPr>
        <w:rPr>
          <w:i/>
          <w:iCs/>
        </w:rPr>
      </w:pPr>
      <w:r w:rsidRPr="001751AB">
        <w:rPr>
          <w:rFonts w:ascii="Arial" w:hAnsi="Arial" w:cs="Arial"/>
          <w:i/>
          <w:iCs/>
          <w:color w:val="202122"/>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A145BBD" w14:textId="77777777" w:rsidR="00D54421" w:rsidRDefault="00D54421" w:rsidP="00D54421"/>
    <w:p w14:paraId="73CC973C" w14:textId="6C19851B" w:rsidR="002F7AD9" w:rsidRDefault="002F7AD9" w:rsidP="002F7AD9">
      <w:pPr>
        <w:pStyle w:val="Heading1"/>
      </w:pPr>
      <w:r>
        <w:t>Organization</w:t>
      </w:r>
    </w:p>
    <w:p w14:paraId="0AD2C7D9" w14:textId="190E71DE" w:rsidR="002F7AD9" w:rsidRPr="002F7AD9" w:rsidRDefault="002F7AD9" w:rsidP="002F7AD9">
      <w:pPr>
        <w:rPr>
          <w:u w:val="single"/>
        </w:rPr>
      </w:pPr>
      <w:r w:rsidRPr="002F7AD9">
        <w:rPr>
          <w:u w:val="single"/>
        </w:rPr>
        <w:t>M</w:t>
      </w:r>
      <w:r w:rsidR="008E0722">
        <w:rPr>
          <w:u w:val="single"/>
        </w:rPr>
        <w:t>arket Authorization Holder</w:t>
      </w:r>
    </w:p>
    <w:p w14:paraId="6AAFBCB9" w14:textId="77777777" w:rsidR="00F25690" w:rsidRDefault="00F25690" w:rsidP="00F25690">
      <w:pPr>
        <w:spacing w:after="0" w:line="240" w:lineRule="auto"/>
      </w:pPr>
      <w:r>
        <w:t>ZAMBON S.p.A.</w:t>
      </w:r>
    </w:p>
    <w:p w14:paraId="72E7EE1B" w14:textId="77777777" w:rsidR="00F25690" w:rsidRDefault="00F25690" w:rsidP="00F25690">
      <w:pPr>
        <w:spacing w:after="0" w:line="240" w:lineRule="auto"/>
      </w:pPr>
      <w:r>
        <w:t>Via Lillo Del Duca, 10</w:t>
      </w:r>
    </w:p>
    <w:p w14:paraId="46A66709" w14:textId="77777777" w:rsidR="00F25690" w:rsidRDefault="00F25690" w:rsidP="00F25690">
      <w:pPr>
        <w:spacing w:after="0" w:line="240" w:lineRule="auto"/>
      </w:pPr>
      <w:r>
        <w:t>20091 Bresso (Milan) – Italy</w:t>
      </w:r>
    </w:p>
    <w:p w14:paraId="78CBAD64" w14:textId="77777777" w:rsidR="00F25690" w:rsidRDefault="00F25690" w:rsidP="00F25690">
      <w:pPr>
        <w:spacing w:after="0" w:line="240" w:lineRule="auto"/>
      </w:pPr>
      <w:r>
        <w:t>Tel: +39 02 665 241</w:t>
      </w:r>
    </w:p>
    <w:p w14:paraId="38C7CF76" w14:textId="77777777" w:rsidR="00F25690" w:rsidRDefault="00F25690" w:rsidP="00F25690">
      <w:pPr>
        <w:spacing w:after="0" w:line="240" w:lineRule="auto"/>
      </w:pPr>
      <w:r>
        <w:t>Fax: +39 02 665 01 492</w:t>
      </w:r>
    </w:p>
    <w:p w14:paraId="42DB31FB" w14:textId="77777777" w:rsidR="00D54421" w:rsidRDefault="00D54421" w:rsidP="002F7AD9"/>
    <w:p w14:paraId="62A7E4E4" w14:textId="77777777" w:rsidR="002F7AD9" w:rsidRPr="002F7AD9" w:rsidRDefault="002F7AD9" w:rsidP="002F7AD9">
      <w:pPr>
        <w:rPr>
          <w:u w:val="single"/>
        </w:rPr>
      </w:pPr>
      <w:r w:rsidRPr="002F7AD9">
        <w:rPr>
          <w:u w:val="single"/>
        </w:rPr>
        <w:t>Regulator</w:t>
      </w:r>
    </w:p>
    <w:p w14:paraId="133DC1A8" w14:textId="77777777" w:rsidR="002F7AD9" w:rsidRDefault="002F7AD9" w:rsidP="002F7AD9">
      <w:pPr>
        <w:spacing w:after="0" w:line="240" w:lineRule="auto"/>
      </w:pPr>
      <w:r>
        <w:t>ORG-99999999</w:t>
      </w:r>
    </w:p>
    <w:p w14:paraId="433B035A" w14:textId="77777777" w:rsidR="002F7AD9" w:rsidRDefault="002F7AD9" w:rsidP="002F7AD9">
      <w:pPr>
        <w:spacing w:after="0" w:line="240" w:lineRule="auto"/>
      </w:pPr>
      <w:r>
        <w:t>European Medicines Agency</w:t>
      </w:r>
    </w:p>
    <w:p w14:paraId="49FC6BD0" w14:textId="77777777" w:rsidR="002F7AD9" w:rsidRDefault="002F7AD9" w:rsidP="002F7AD9">
      <w:pPr>
        <w:spacing w:after="0" w:line="240" w:lineRule="auto"/>
      </w:pPr>
      <w:r>
        <w:lastRenderedPageBreak/>
        <w:t>Domenico Scarlattilaan 6</w:t>
      </w:r>
    </w:p>
    <w:p w14:paraId="73C0D56A" w14:textId="77777777" w:rsidR="002F7AD9" w:rsidRDefault="002F7AD9" w:rsidP="002F7AD9">
      <w:pPr>
        <w:spacing w:after="0" w:line="240" w:lineRule="auto"/>
      </w:pPr>
      <w:r>
        <w:t>1083 HS Amsterdam</w:t>
      </w:r>
    </w:p>
    <w:p w14:paraId="7E4C200B" w14:textId="067DAF57" w:rsidR="002F7AD9" w:rsidRPr="00E13FF6" w:rsidRDefault="002F7AD9" w:rsidP="00E13FF6">
      <w:pPr>
        <w:spacing w:after="0" w:line="240" w:lineRule="auto"/>
      </w:pPr>
      <w:r>
        <w:t>The Netherlands</w:t>
      </w:r>
    </w:p>
    <w:p w14:paraId="0E0727B4" w14:textId="497649F2" w:rsidR="002F7AD9" w:rsidRDefault="002F7AD9" w:rsidP="002F7AD9">
      <w:r w:rsidRPr="002F7AD9">
        <w:rPr>
          <w:highlight w:val="yellow"/>
        </w:rPr>
        <w:t>Can reuse the same EMA Organization resource from Skilarence</w:t>
      </w:r>
    </w:p>
    <w:p w14:paraId="438AD8C4" w14:textId="77777777" w:rsidR="002F7AD9" w:rsidRDefault="002F7AD9" w:rsidP="002F7AD9">
      <w:pPr>
        <w:pStyle w:val="Heading1"/>
      </w:pPr>
      <w:r>
        <w:t>Regulated Authorization</w:t>
      </w:r>
    </w:p>
    <w:p w14:paraId="1C68D745" w14:textId="77777777" w:rsidR="0054529A" w:rsidRDefault="0054529A" w:rsidP="0054529A">
      <w:r w:rsidRPr="00053D3A">
        <w:t>PL 31654/0006</w:t>
      </w:r>
      <w:r>
        <w:t>-1</w:t>
      </w:r>
      <w:r>
        <w:tab/>
        <w:t>x1 sachets</w:t>
      </w:r>
    </w:p>
    <w:p w14:paraId="7D172F6E" w14:textId="77777777" w:rsidR="0054529A" w:rsidRDefault="0054529A" w:rsidP="0054529A">
      <w:r w:rsidRPr="00053D3A">
        <w:t>PL 31654/0006</w:t>
      </w:r>
      <w:r>
        <w:t>-2</w:t>
      </w:r>
      <w:r>
        <w:tab/>
        <w:t>x2 sachets</w:t>
      </w:r>
    </w:p>
    <w:p w14:paraId="7D838618" w14:textId="77777777" w:rsidR="0054529A" w:rsidRDefault="0054529A" w:rsidP="0054529A">
      <w:r w:rsidRPr="00053D3A">
        <w:t>PL 31654/0006</w:t>
      </w:r>
      <w:r>
        <w:t xml:space="preserve"> -5</w:t>
      </w:r>
      <w:r>
        <w:tab/>
        <w:t>x5 sachets</w:t>
      </w:r>
    </w:p>
    <w:p w14:paraId="3A4F5692" w14:textId="26C68FAA" w:rsidR="00D54421" w:rsidRDefault="00053D3A" w:rsidP="002F7AD9">
      <w:r w:rsidRPr="00053D3A">
        <w:rPr>
          <w:highlight w:val="yellow"/>
        </w:rPr>
        <w:t xml:space="preserve">Can’t find the EMA authorization so </w:t>
      </w:r>
      <w:r w:rsidR="004C544A">
        <w:rPr>
          <w:highlight w:val="yellow"/>
        </w:rPr>
        <w:t>made up these</w:t>
      </w:r>
      <w:r w:rsidRPr="00053D3A">
        <w:rPr>
          <w:highlight w:val="yellow"/>
        </w:rPr>
        <w:t xml:space="preserve"> </w:t>
      </w:r>
      <w:r w:rsidR="009B24CB">
        <w:rPr>
          <w:highlight w:val="yellow"/>
        </w:rPr>
        <w:t>from</w:t>
      </w:r>
      <w:r w:rsidR="004C544A">
        <w:rPr>
          <w:highlight w:val="yellow"/>
        </w:rPr>
        <w:t xml:space="preserve"> </w:t>
      </w:r>
      <w:r w:rsidRPr="00053D3A">
        <w:rPr>
          <w:highlight w:val="yellow"/>
        </w:rPr>
        <w:t>the MHRA</w:t>
      </w:r>
      <w:r w:rsidR="009B24CB">
        <w:rPr>
          <w:highlight w:val="yellow"/>
        </w:rPr>
        <w:t xml:space="preserve"> number</w:t>
      </w:r>
      <w:r w:rsidRPr="00053D3A">
        <w:rPr>
          <w:highlight w:val="yellow"/>
        </w:rPr>
        <w:t>s for now.</w:t>
      </w:r>
    </w:p>
    <w:p w14:paraId="49D2703E" w14:textId="77777777" w:rsidR="002F7AD9" w:rsidRDefault="002F7AD9" w:rsidP="002F7AD9">
      <w:pPr>
        <w:pStyle w:val="Heading1"/>
      </w:pPr>
      <w:r>
        <w:t>Medicinal product definition</w:t>
      </w:r>
    </w:p>
    <w:p w14:paraId="138DA9A0" w14:textId="0CC7C773" w:rsidR="00E12940" w:rsidRDefault="00814D84" w:rsidP="00814D84">
      <w:r w:rsidRPr="00053D3A">
        <w:t>PL 31654/0006</w:t>
      </w:r>
      <w:r w:rsidR="00E12940">
        <w:t>-1</w:t>
      </w:r>
      <w:r w:rsidR="00E12940">
        <w:tab/>
      </w:r>
      <w:r w:rsidR="0054529A">
        <w:t>x1 sachets</w:t>
      </w:r>
    </w:p>
    <w:p w14:paraId="12087DCA" w14:textId="52AB32C6" w:rsidR="00E12940" w:rsidRDefault="00E12940" w:rsidP="00814D84">
      <w:r w:rsidRPr="00053D3A">
        <w:t>PL 31654/0006</w:t>
      </w:r>
      <w:r>
        <w:t>-2</w:t>
      </w:r>
      <w:r>
        <w:tab/>
      </w:r>
      <w:r w:rsidR="0054529A">
        <w:t>x2 sachets</w:t>
      </w:r>
    </w:p>
    <w:p w14:paraId="42BDC79E" w14:textId="75016C78" w:rsidR="00814D84" w:rsidRDefault="00E12940" w:rsidP="00814D84">
      <w:r w:rsidRPr="00053D3A">
        <w:t>PL 31654/0006</w:t>
      </w:r>
      <w:r w:rsidR="00814D84">
        <w:t xml:space="preserve"> </w:t>
      </w:r>
      <w:r>
        <w:t>-5</w:t>
      </w:r>
      <w:r>
        <w:tab/>
      </w:r>
      <w:r w:rsidR="0054529A">
        <w:t>x5 sachets</w:t>
      </w:r>
    </w:p>
    <w:p w14:paraId="0AAE7766" w14:textId="77777777" w:rsidR="009B24CB" w:rsidRDefault="009B24CB" w:rsidP="009B24CB">
      <w:r w:rsidRPr="00053D3A">
        <w:rPr>
          <w:highlight w:val="yellow"/>
        </w:rPr>
        <w:t xml:space="preserve">Can’t find the EMA authorization so </w:t>
      </w:r>
      <w:r>
        <w:rPr>
          <w:highlight w:val="yellow"/>
        </w:rPr>
        <w:t>made up these</w:t>
      </w:r>
      <w:r w:rsidRPr="00053D3A">
        <w:rPr>
          <w:highlight w:val="yellow"/>
        </w:rPr>
        <w:t xml:space="preserve"> </w:t>
      </w:r>
      <w:r>
        <w:rPr>
          <w:highlight w:val="yellow"/>
        </w:rPr>
        <w:t xml:space="preserve">from </w:t>
      </w:r>
      <w:r w:rsidRPr="00053D3A">
        <w:rPr>
          <w:highlight w:val="yellow"/>
        </w:rPr>
        <w:t>the MHRA</w:t>
      </w:r>
      <w:r>
        <w:rPr>
          <w:highlight w:val="yellow"/>
        </w:rPr>
        <w:t xml:space="preserve"> number</w:t>
      </w:r>
      <w:r w:rsidRPr="00053D3A">
        <w:rPr>
          <w:highlight w:val="yellow"/>
        </w:rPr>
        <w:t>s for now.</w:t>
      </w:r>
    </w:p>
    <w:p w14:paraId="3C8C3380" w14:textId="77777777" w:rsidR="002F7AD9" w:rsidRDefault="002F7AD9" w:rsidP="002F7AD9">
      <w:pPr>
        <w:pStyle w:val="Heading1"/>
      </w:pPr>
      <w:r>
        <w:t>Packaged product definition</w:t>
      </w:r>
    </w:p>
    <w:p w14:paraId="6D0CB605" w14:textId="5A693CA3" w:rsidR="00904DF1" w:rsidRPr="00DB26E8" w:rsidRDefault="00904DF1" w:rsidP="002F7AD9">
      <w:pPr>
        <w:rPr>
          <w:u w:val="single"/>
        </w:rPr>
      </w:pPr>
      <w:r w:rsidRPr="00DB26E8">
        <w:rPr>
          <w:u w:val="single"/>
        </w:rPr>
        <w:t xml:space="preserve">Three pack presentations </w:t>
      </w:r>
    </w:p>
    <w:p w14:paraId="44F676CA" w14:textId="79DFC614" w:rsidR="00904DF1" w:rsidRDefault="00662610" w:rsidP="002F7AD9">
      <w:r>
        <w:t>Box with 1 sachet</w:t>
      </w:r>
      <w:r w:rsidR="00DB26E8">
        <w:tab/>
      </w:r>
      <w:commentRangeStart w:id="0"/>
      <w:r w:rsidR="00DB26E8" w:rsidRPr="00814D84">
        <w:rPr>
          <w:highlight w:val="yellow"/>
        </w:rPr>
        <w:t>PL 31654/0006</w:t>
      </w:r>
      <w:r w:rsidR="00DB26E8" w:rsidRPr="00814D84">
        <w:rPr>
          <w:highlight w:val="yellow"/>
        </w:rPr>
        <w:t>-1</w:t>
      </w:r>
      <w:commentRangeEnd w:id="0"/>
      <w:r w:rsidR="00814D84">
        <w:rPr>
          <w:rStyle w:val="CommentReference"/>
        </w:rPr>
        <w:commentReference w:id="0"/>
      </w:r>
    </w:p>
    <w:p w14:paraId="6067F354" w14:textId="7160B27A" w:rsidR="00662610" w:rsidRDefault="00662610" w:rsidP="002F7AD9">
      <w:r>
        <w:t>Box with 2 sachets</w:t>
      </w:r>
      <w:r w:rsidR="00DB26E8">
        <w:tab/>
      </w:r>
      <w:r w:rsidR="00DB26E8" w:rsidRPr="00DB26E8">
        <w:t>PL 31654/0006</w:t>
      </w:r>
      <w:r w:rsidR="00DB26E8">
        <w:t>-2</w:t>
      </w:r>
    </w:p>
    <w:p w14:paraId="263490D9" w14:textId="4DF18E1E" w:rsidR="00662610" w:rsidRDefault="00662610" w:rsidP="002F7AD9">
      <w:r>
        <w:t xml:space="preserve">Box with </w:t>
      </w:r>
      <w:r w:rsidR="00DB26E8">
        <w:t>5 sachets</w:t>
      </w:r>
      <w:r w:rsidR="00DB26E8">
        <w:tab/>
      </w:r>
      <w:r w:rsidR="00DB26E8" w:rsidRPr="00DB26E8">
        <w:t>PL 31654/0006</w:t>
      </w:r>
      <w:r w:rsidR="00DB26E8">
        <w:t>-5</w:t>
      </w:r>
    </w:p>
    <w:p w14:paraId="73479B35" w14:textId="26596D18" w:rsidR="005F246D" w:rsidRDefault="005F246D" w:rsidP="002F7AD9"/>
    <w:p w14:paraId="6F6F10DC" w14:textId="5A0ACC3A" w:rsidR="00DB26E8" w:rsidRPr="00DB26E8" w:rsidRDefault="00DB26E8" w:rsidP="00916850">
      <w:pPr>
        <w:rPr>
          <w:u w:val="single"/>
        </w:rPr>
      </w:pPr>
      <w:r w:rsidRPr="00DB26E8">
        <w:rPr>
          <w:u w:val="single"/>
        </w:rPr>
        <w:t>Shelf life</w:t>
      </w:r>
    </w:p>
    <w:p w14:paraId="326C14D8" w14:textId="71FF6FC0" w:rsidR="00916850" w:rsidRDefault="00916850" w:rsidP="00916850">
      <w:r>
        <w:t>Three years</w:t>
      </w:r>
    </w:p>
    <w:p w14:paraId="75562878" w14:textId="77777777" w:rsidR="00DB26E8" w:rsidRDefault="00DB26E8" w:rsidP="00916850">
      <w:pPr>
        <w:rPr>
          <w:u w:val="single"/>
        </w:rPr>
      </w:pPr>
      <w:r w:rsidRPr="00DB26E8">
        <w:rPr>
          <w:u w:val="single"/>
        </w:rPr>
        <w:t>Storage conditions</w:t>
      </w:r>
    </w:p>
    <w:p w14:paraId="40DEA183" w14:textId="6E5CB344" w:rsidR="00D54421" w:rsidRPr="00DB26E8" w:rsidRDefault="00916850" w:rsidP="00916850">
      <w:pPr>
        <w:rPr>
          <w:u w:val="single"/>
        </w:rPr>
      </w:pPr>
      <w:r>
        <w:t>After reconstitution in water, the solution is stable at room temperature for 24 hours.</w:t>
      </w:r>
    </w:p>
    <w:p w14:paraId="20D35725" w14:textId="77777777" w:rsidR="00916850" w:rsidRDefault="00916850" w:rsidP="00916850">
      <w:r>
        <w:t>Special precautions for storage</w:t>
      </w:r>
    </w:p>
    <w:p w14:paraId="46D3DF01" w14:textId="66C2E5C1" w:rsidR="00916850" w:rsidRDefault="00916850" w:rsidP="00916850">
      <w:r>
        <w:t>Store away from direct sunlight.</w:t>
      </w:r>
    </w:p>
    <w:p w14:paraId="4C1865D1" w14:textId="77777777" w:rsidR="002F7AD9" w:rsidRDefault="002F7AD9" w:rsidP="002F7AD9">
      <w:pPr>
        <w:pStyle w:val="Heading1"/>
      </w:pPr>
      <w:r>
        <w:t>Administrable product definition</w:t>
      </w:r>
    </w:p>
    <w:p w14:paraId="688BBAAE" w14:textId="3D0F529D" w:rsidR="00D54421" w:rsidRDefault="00562AEB" w:rsidP="00D54421">
      <w:r>
        <w:t xml:space="preserve">PhPID </w:t>
      </w:r>
      <w:r w:rsidR="0054529A">
        <w:t xml:space="preserve">= </w:t>
      </w:r>
      <w:r>
        <w:t>from Malin</w:t>
      </w:r>
      <w:r w:rsidR="0054529A">
        <w:t>/UMC</w:t>
      </w:r>
    </w:p>
    <w:p w14:paraId="56B3A289" w14:textId="446F54A2" w:rsidR="0054529A" w:rsidRDefault="0054529A" w:rsidP="00D54421">
      <w:r w:rsidRPr="003649E0">
        <w:t>Monuril 3 g granules</w:t>
      </w:r>
    </w:p>
    <w:p w14:paraId="1A235159" w14:textId="77777777" w:rsidR="00562AEB" w:rsidRDefault="00562AEB" w:rsidP="00D54421"/>
    <w:p w14:paraId="533611B1" w14:textId="0DE36AFA" w:rsidR="002F7AD9" w:rsidRDefault="002F7AD9" w:rsidP="002F7AD9">
      <w:pPr>
        <w:pStyle w:val="Heading1"/>
      </w:pPr>
      <w:r>
        <w:t>Manufactured item definition</w:t>
      </w:r>
    </w:p>
    <w:p w14:paraId="520FE972" w14:textId="1516E5EE" w:rsidR="0054529A" w:rsidRDefault="0054529A" w:rsidP="00D54421">
      <w:r>
        <w:t xml:space="preserve">MPID = </w:t>
      </w:r>
      <w:r w:rsidRPr="00053D3A">
        <w:t>PL 31654/0006</w:t>
      </w:r>
    </w:p>
    <w:p w14:paraId="4080B979" w14:textId="156EADD8" w:rsidR="00D54421" w:rsidRDefault="0054529A" w:rsidP="00D54421">
      <w:r w:rsidRPr="003649E0">
        <w:t>Monuril 3 g granules</w:t>
      </w:r>
    </w:p>
    <w:p w14:paraId="2158B218" w14:textId="6D8C7566" w:rsidR="002F7AD9" w:rsidRDefault="002F7AD9" w:rsidP="002F7AD9">
      <w:pPr>
        <w:pStyle w:val="Heading1"/>
      </w:pPr>
      <w:r>
        <w:t>Ingredient</w:t>
      </w:r>
    </w:p>
    <w:tbl>
      <w:tblPr>
        <w:tblStyle w:val="TableGridLight"/>
        <w:tblW w:w="9985" w:type="dxa"/>
        <w:tblLook w:val="04A0" w:firstRow="1" w:lastRow="0" w:firstColumn="1" w:lastColumn="0" w:noHBand="0" w:noVBand="1"/>
      </w:tblPr>
      <w:tblGrid>
        <w:gridCol w:w="2318"/>
        <w:gridCol w:w="1709"/>
        <w:gridCol w:w="1755"/>
        <w:gridCol w:w="4203"/>
      </w:tblGrid>
      <w:tr w:rsidR="00170B74" w:rsidRPr="005C3FEF" w14:paraId="38907406" w14:textId="2838C91F" w:rsidTr="005C3981">
        <w:tc>
          <w:tcPr>
            <w:tcW w:w="2318" w:type="dxa"/>
          </w:tcPr>
          <w:p w14:paraId="6DA6EAF3" w14:textId="45C5F0F0" w:rsidR="00170B74" w:rsidRPr="005C3FEF" w:rsidRDefault="00170B74" w:rsidP="00961BC4">
            <w:pPr>
              <w:rPr>
                <w:rFonts w:ascii="Arial" w:hAnsi="Arial" w:cs="Arial"/>
                <w:b/>
                <w:bCs/>
                <w:color w:val="000000"/>
                <w:sz w:val="19"/>
                <w:szCs w:val="19"/>
                <w:shd w:val="clear" w:color="auto" w:fill="FFFFFF"/>
              </w:rPr>
            </w:pPr>
            <w:r w:rsidRPr="005C3FEF">
              <w:rPr>
                <w:rFonts w:ascii="Arial" w:hAnsi="Arial" w:cs="Arial"/>
                <w:b/>
                <w:bCs/>
                <w:color w:val="000000"/>
                <w:sz w:val="19"/>
                <w:szCs w:val="19"/>
                <w:shd w:val="clear" w:color="auto" w:fill="FFFFFF"/>
              </w:rPr>
              <w:t>Ingredient</w:t>
            </w:r>
          </w:p>
        </w:tc>
        <w:tc>
          <w:tcPr>
            <w:tcW w:w="1709" w:type="dxa"/>
          </w:tcPr>
          <w:p w14:paraId="614DF645" w14:textId="669F5D45" w:rsidR="00170B74" w:rsidRPr="005C3FEF" w:rsidRDefault="00170B74" w:rsidP="00961BC4">
            <w:pPr>
              <w:rPr>
                <w:rFonts w:ascii="Arial" w:hAnsi="Arial" w:cs="Arial"/>
                <w:b/>
                <w:bCs/>
                <w:color w:val="000000"/>
                <w:sz w:val="19"/>
                <w:szCs w:val="19"/>
                <w:shd w:val="clear" w:color="auto" w:fill="FFFFFF"/>
              </w:rPr>
            </w:pPr>
            <w:r>
              <w:rPr>
                <w:rFonts w:ascii="Arial" w:hAnsi="Arial" w:cs="Arial"/>
                <w:b/>
                <w:bCs/>
                <w:color w:val="000000"/>
                <w:sz w:val="19"/>
                <w:szCs w:val="19"/>
                <w:shd w:val="clear" w:color="auto" w:fill="FFFFFF"/>
              </w:rPr>
              <w:t>G-SRS code</w:t>
            </w:r>
          </w:p>
        </w:tc>
        <w:tc>
          <w:tcPr>
            <w:tcW w:w="1755" w:type="dxa"/>
          </w:tcPr>
          <w:p w14:paraId="37905EC5" w14:textId="27CF932D" w:rsidR="00170B74" w:rsidRPr="005C3FEF" w:rsidRDefault="00170B74" w:rsidP="00961BC4">
            <w:pPr>
              <w:rPr>
                <w:rFonts w:ascii="Arial" w:hAnsi="Arial" w:cs="Arial"/>
                <w:b/>
                <w:bCs/>
                <w:color w:val="000000"/>
                <w:sz w:val="19"/>
                <w:szCs w:val="19"/>
                <w:shd w:val="clear" w:color="auto" w:fill="FFFFFF"/>
              </w:rPr>
            </w:pPr>
            <w:r w:rsidRPr="005C3FEF">
              <w:rPr>
                <w:rFonts w:ascii="Arial" w:hAnsi="Arial" w:cs="Arial"/>
                <w:b/>
                <w:bCs/>
                <w:color w:val="000000"/>
                <w:sz w:val="19"/>
                <w:szCs w:val="19"/>
                <w:shd w:val="clear" w:color="auto" w:fill="FFFFFF"/>
              </w:rPr>
              <w:t>Role</w:t>
            </w:r>
          </w:p>
        </w:tc>
        <w:tc>
          <w:tcPr>
            <w:tcW w:w="4203" w:type="dxa"/>
          </w:tcPr>
          <w:p w14:paraId="2588689B" w14:textId="6D10B88D" w:rsidR="00170B74" w:rsidRPr="005C3FEF" w:rsidRDefault="00170B74" w:rsidP="00961BC4">
            <w:pPr>
              <w:rPr>
                <w:rFonts w:ascii="Arial" w:hAnsi="Arial" w:cs="Arial"/>
                <w:b/>
                <w:bCs/>
                <w:color w:val="000000"/>
                <w:sz w:val="19"/>
                <w:szCs w:val="19"/>
                <w:shd w:val="clear" w:color="auto" w:fill="FFFFFF"/>
              </w:rPr>
            </w:pPr>
            <w:r w:rsidRPr="005C3FEF">
              <w:rPr>
                <w:rFonts w:ascii="Arial" w:hAnsi="Arial" w:cs="Arial"/>
                <w:b/>
                <w:bCs/>
                <w:color w:val="000000"/>
                <w:sz w:val="19"/>
                <w:szCs w:val="19"/>
                <w:shd w:val="clear" w:color="auto" w:fill="FFFFFF"/>
              </w:rPr>
              <w:t>Strength</w:t>
            </w:r>
          </w:p>
        </w:tc>
      </w:tr>
      <w:tr w:rsidR="00170B74" w:rsidRPr="00D47F1A" w14:paraId="12564761" w14:textId="181325D8" w:rsidTr="005C3981">
        <w:tc>
          <w:tcPr>
            <w:tcW w:w="2318" w:type="dxa"/>
          </w:tcPr>
          <w:p w14:paraId="5BE243F7" w14:textId="77777777" w:rsidR="00170B74" w:rsidRPr="00D47F1A" w:rsidRDefault="00170B74" w:rsidP="00961BC4">
            <w:r w:rsidRPr="00D47F1A">
              <w:rPr>
                <w:rFonts w:ascii="Arial" w:hAnsi="Arial" w:cs="Arial"/>
                <w:color w:val="000000"/>
                <w:sz w:val="19"/>
                <w:szCs w:val="19"/>
                <w:shd w:val="clear" w:color="auto" w:fill="FFFFFF"/>
              </w:rPr>
              <w:t>fosfomycin trometamol </w:t>
            </w:r>
          </w:p>
        </w:tc>
        <w:tc>
          <w:tcPr>
            <w:tcW w:w="1709" w:type="dxa"/>
          </w:tcPr>
          <w:p w14:paraId="5BE9D7F9" w14:textId="5648CEE1" w:rsidR="00170B74" w:rsidRDefault="00FF4FFF" w:rsidP="00961BC4">
            <w:pPr>
              <w:rPr>
                <w:rFonts w:ascii="Arial" w:hAnsi="Arial" w:cs="Arial"/>
                <w:color w:val="000000"/>
                <w:sz w:val="19"/>
                <w:szCs w:val="19"/>
                <w:shd w:val="clear" w:color="auto" w:fill="FFFFFF"/>
              </w:rPr>
            </w:pPr>
            <w:r w:rsidRPr="00FF4FFF">
              <w:rPr>
                <w:rFonts w:ascii="Arial" w:hAnsi="Arial" w:cs="Arial"/>
                <w:color w:val="000000"/>
                <w:sz w:val="19"/>
                <w:szCs w:val="19"/>
                <w:shd w:val="clear" w:color="auto" w:fill="FFFFFF"/>
              </w:rPr>
              <w:t>7FXW6U30GY</w:t>
            </w:r>
          </w:p>
        </w:tc>
        <w:tc>
          <w:tcPr>
            <w:tcW w:w="1755" w:type="dxa"/>
          </w:tcPr>
          <w:p w14:paraId="025C4225" w14:textId="38276F69" w:rsidR="00170B74" w:rsidRPr="00D47F1A" w:rsidRDefault="00170B74" w:rsidP="00961BC4">
            <w:pPr>
              <w:rPr>
                <w:rFonts w:ascii="Arial" w:hAnsi="Arial" w:cs="Arial"/>
                <w:color w:val="000000"/>
                <w:sz w:val="19"/>
                <w:szCs w:val="19"/>
                <w:shd w:val="clear" w:color="auto" w:fill="FFFFFF"/>
              </w:rPr>
            </w:pPr>
            <w:r>
              <w:rPr>
                <w:rFonts w:ascii="Arial" w:hAnsi="Arial" w:cs="Arial"/>
                <w:color w:val="000000"/>
                <w:sz w:val="19"/>
                <w:szCs w:val="19"/>
                <w:shd w:val="clear" w:color="auto" w:fill="FFFFFF"/>
              </w:rPr>
              <w:t>active</w:t>
            </w:r>
          </w:p>
        </w:tc>
        <w:tc>
          <w:tcPr>
            <w:tcW w:w="4203" w:type="dxa"/>
          </w:tcPr>
          <w:p w14:paraId="440AFCDC" w14:textId="77777777" w:rsidR="00170B74" w:rsidRDefault="00170B74" w:rsidP="00961BC4">
            <w:pPr>
              <w:rPr>
                <w:rFonts w:ascii="Arial" w:hAnsi="Arial" w:cs="Arial"/>
                <w:color w:val="000000"/>
                <w:sz w:val="19"/>
                <w:szCs w:val="19"/>
                <w:shd w:val="clear" w:color="auto" w:fill="FFFFFF"/>
              </w:rPr>
            </w:pPr>
            <w:r>
              <w:rPr>
                <w:rFonts w:ascii="Arial" w:hAnsi="Arial" w:cs="Arial"/>
                <w:color w:val="000000"/>
                <w:sz w:val="19"/>
                <w:szCs w:val="19"/>
                <w:shd w:val="clear" w:color="auto" w:fill="FFFFFF"/>
              </w:rPr>
              <w:t>5.631 g</w:t>
            </w:r>
          </w:p>
          <w:p w14:paraId="56F65730" w14:textId="6FE3A540" w:rsidR="00170B74" w:rsidRDefault="00170B74" w:rsidP="00961BC4">
            <w:pPr>
              <w:rPr>
                <w:rFonts w:ascii="Arial" w:hAnsi="Arial" w:cs="Arial"/>
                <w:color w:val="000000"/>
                <w:sz w:val="19"/>
                <w:szCs w:val="19"/>
                <w:shd w:val="clear" w:color="auto" w:fill="FFFFFF"/>
              </w:rPr>
            </w:pPr>
            <w:r>
              <w:rPr>
                <w:rFonts w:ascii="Arial" w:hAnsi="Arial" w:cs="Arial"/>
                <w:color w:val="000000"/>
                <w:sz w:val="19"/>
                <w:szCs w:val="19"/>
                <w:shd w:val="clear" w:color="auto" w:fill="FFFFFF"/>
              </w:rPr>
              <w:t>Basis = ACTIM</w:t>
            </w:r>
          </w:p>
          <w:p w14:paraId="0B4775E0" w14:textId="1C5996CF" w:rsidR="00170B74" w:rsidRDefault="00170B74" w:rsidP="00961BC4">
            <w:pPr>
              <w:rPr>
                <w:rFonts w:ascii="Arial" w:hAnsi="Arial" w:cs="Arial"/>
                <w:color w:val="000000"/>
                <w:sz w:val="19"/>
                <w:szCs w:val="19"/>
                <w:shd w:val="clear" w:color="auto" w:fill="FFFFFF"/>
              </w:rPr>
            </w:pPr>
            <w:r>
              <w:rPr>
                <w:rFonts w:ascii="Arial" w:hAnsi="Arial" w:cs="Arial"/>
                <w:color w:val="000000"/>
                <w:sz w:val="19"/>
                <w:szCs w:val="19"/>
                <w:shd w:val="clear" w:color="auto" w:fill="FFFFFF"/>
              </w:rPr>
              <w:t>Reference strength</w:t>
            </w:r>
          </w:p>
          <w:p w14:paraId="33FB33E7" w14:textId="45BC48AF" w:rsidR="00170B74" w:rsidRPr="00FF4FFF" w:rsidRDefault="00170B74" w:rsidP="00FF4FFF">
            <w:pPr>
              <w:pStyle w:val="ListParagraph"/>
              <w:numPr>
                <w:ilvl w:val="0"/>
                <w:numId w:val="2"/>
              </w:numPr>
              <w:rPr>
                <w:rFonts w:ascii="Arial" w:hAnsi="Arial" w:cs="Arial"/>
                <w:color w:val="000000"/>
                <w:sz w:val="19"/>
                <w:szCs w:val="19"/>
                <w:shd w:val="clear" w:color="auto" w:fill="FFFFFF"/>
              </w:rPr>
            </w:pPr>
            <w:r w:rsidRPr="00FF4FFF">
              <w:rPr>
                <w:rFonts w:ascii="Arial" w:hAnsi="Arial" w:cs="Arial"/>
                <w:color w:val="000000"/>
                <w:sz w:val="19"/>
                <w:szCs w:val="19"/>
                <w:shd w:val="clear" w:color="auto" w:fill="FFFFFF"/>
              </w:rPr>
              <w:t xml:space="preserve">Substance = </w:t>
            </w:r>
            <w:r w:rsidR="005C3981" w:rsidRPr="00D47F1A">
              <w:rPr>
                <w:rFonts w:ascii="Arial" w:hAnsi="Arial" w:cs="Arial"/>
                <w:color w:val="000000"/>
                <w:sz w:val="19"/>
                <w:szCs w:val="19"/>
                <w:shd w:val="clear" w:color="auto" w:fill="FFFFFF"/>
              </w:rPr>
              <w:t xml:space="preserve">fosfomycin </w:t>
            </w:r>
            <w:r w:rsidR="005C3981">
              <w:rPr>
                <w:rFonts w:ascii="Arial" w:hAnsi="Arial" w:cs="Arial"/>
                <w:color w:val="000000"/>
                <w:sz w:val="19"/>
                <w:szCs w:val="19"/>
                <w:shd w:val="clear" w:color="auto" w:fill="FFFFFF"/>
              </w:rPr>
              <w:t>(</w:t>
            </w:r>
            <w:r w:rsidR="00FF4FFF" w:rsidRPr="00FF4FFF">
              <w:rPr>
                <w:rFonts w:ascii="Arial" w:hAnsi="Arial" w:cs="Arial"/>
                <w:color w:val="000000"/>
                <w:sz w:val="19"/>
                <w:szCs w:val="19"/>
                <w:shd w:val="clear" w:color="auto" w:fill="FFFFFF"/>
              </w:rPr>
              <w:t>2N81MY12TE</w:t>
            </w:r>
            <w:r w:rsidR="005C3981">
              <w:rPr>
                <w:rFonts w:ascii="Arial" w:hAnsi="Arial" w:cs="Arial"/>
                <w:color w:val="000000"/>
                <w:sz w:val="19"/>
                <w:szCs w:val="19"/>
                <w:shd w:val="clear" w:color="auto" w:fill="FFFFFF"/>
              </w:rPr>
              <w:t>)</w:t>
            </w:r>
          </w:p>
          <w:p w14:paraId="03D81030" w14:textId="28D3A53C" w:rsidR="00170B74" w:rsidRPr="00FF4FFF" w:rsidRDefault="00170B74" w:rsidP="00FF4FFF">
            <w:pPr>
              <w:pStyle w:val="ListParagraph"/>
              <w:numPr>
                <w:ilvl w:val="0"/>
                <w:numId w:val="2"/>
              </w:numPr>
              <w:rPr>
                <w:rFonts w:ascii="Arial" w:hAnsi="Arial" w:cs="Arial"/>
                <w:color w:val="000000"/>
                <w:sz w:val="19"/>
                <w:szCs w:val="19"/>
                <w:shd w:val="clear" w:color="auto" w:fill="FFFFFF"/>
              </w:rPr>
            </w:pPr>
            <w:r w:rsidRPr="00FF4FFF">
              <w:rPr>
                <w:rFonts w:ascii="Arial" w:hAnsi="Arial" w:cs="Arial"/>
                <w:color w:val="000000"/>
                <w:sz w:val="19"/>
                <w:szCs w:val="19"/>
                <w:shd w:val="clear" w:color="auto" w:fill="FFFFFF"/>
              </w:rPr>
              <w:t>Strength = 3 g</w:t>
            </w:r>
          </w:p>
          <w:p w14:paraId="319F9D3F" w14:textId="74936E2B" w:rsidR="00170B74" w:rsidRPr="00D47F1A" w:rsidRDefault="00170B74" w:rsidP="00961BC4">
            <w:pPr>
              <w:rPr>
                <w:rFonts w:ascii="Arial" w:hAnsi="Arial" w:cs="Arial"/>
                <w:color w:val="000000"/>
                <w:sz w:val="19"/>
                <w:szCs w:val="19"/>
                <w:shd w:val="clear" w:color="auto" w:fill="FFFFFF"/>
              </w:rPr>
            </w:pPr>
          </w:p>
        </w:tc>
      </w:tr>
      <w:tr w:rsidR="00170B74" w:rsidRPr="00D47F1A" w14:paraId="124B7011" w14:textId="37AFD180" w:rsidTr="005C3981">
        <w:tc>
          <w:tcPr>
            <w:tcW w:w="2318" w:type="dxa"/>
          </w:tcPr>
          <w:p w14:paraId="12FD1641" w14:textId="77777777" w:rsidR="00170B74" w:rsidRPr="00D47F1A" w:rsidRDefault="00170B74" w:rsidP="00961BC4">
            <w:r w:rsidRPr="00D47F1A">
              <w:t>Mandarin flavour</w:t>
            </w:r>
          </w:p>
        </w:tc>
        <w:tc>
          <w:tcPr>
            <w:tcW w:w="1709" w:type="dxa"/>
          </w:tcPr>
          <w:p w14:paraId="23E9EFAC" w14:textId="0B5C3644" w:rsidR="00170B74" w:rsidRDefault="00FC31BE" w:rsidP="00FC31BE">
            <w:commentRangeStart w:id="1"/>
            <w:r>
              <w:t>KH3E3096OO</w:t>
            </w:r>
            <w:commentRangeEnd w:id="1"/>
            <w:r>
              <w:rPr>
                <w:rStyle w:val="CommentReference"/>
              </w:rPr>
              <w:commentReference w:id="1"/>
            </w:r>
          </w:p>
        </w:tc>
        <w:tc>
          <w:tcPr>
            <w:tcW w:w="1755" w:type="dxa"/>
          </w:tcPr>
          <w:p w14:paraId="1C3AB573" w14:textId="4ACC8A7E" w:rsidR="00170B74" w:rsidRPr="00D47F1A" w:rsidRDefault="00170B74" w:rsidP="00961BC4">
            <w:r>
              <w:t>excipient</w:t>
            </w:r>
          </w:p>
        </w:tc>
        <w:tc>
          <w:tcPr>
            <w:tcW w:w="4203" w:type="dxa"/>
          </w:tcPr>
          <w:p w14:paraId="6F04DEC8" w14:textId="521B95BA" w:rsidR="00170B74" w:rsidRPr="00D47F1A" w:rsidRDefault="00170B74" w:rsidP="00961BC4">
            <w:r>
              <w:t>n/a</w:t>
            </w:r>
          </w:p>
        </w:tc>
      </w:tr>
      <w:tr w:rsidR="00170B74" w:rsidRPr="00D47F1A" w14:paraId="52CF2183" w14:textId="4AEF9123" w:rsidTr="005C3981">
        <w:tc>
          <w:tcPr>
            <w:tcW w:w="2318" w:type="dxa"/>
          </w:tcPr>
          <w:p w14:paraId="7316F558" w14:textId="77777777" w:rsidR="00170B74" w:rsidRPr="00D47F1A" w:rsidRDefault="00170B74" w:rsidP="00665728">
            <w:r w:rsidRPr="00D47F1A">
              <w:t>Orange flavour</w:t>
            </w:r>
          </w:p>
        </w:tc>
        <w:tc>
          <w:tcPr>
            <w:tcW w:w="1709" w:type="dxa"/>
          </w:tcPr>
          <w:p w14:paraId="01F726CE" w14:textId="358F7A3F" w:rsidR="00170B74" w:rsidRPr="00D76917" w:rsidRDefault="00FE3CEF" w:rsidP="00665728">
            <w:r w:rsidRPr="00FE3CEF">
              <w:t>5EVU04N5QU</w:t>
            </w:r>
          </w:p>
        </w:tc>
        <w:tc>
          <w:tcPr>
            <w:tcW w:w="1755" w:type="dxa"/>
          </w:tcPr>
          <w:p w14:paraId="7EC6782F" w14:textId="5E1FB888" w:rsidR="00170B74" w:rsidRPr="00D47F1A" w:rsidRDefault="00170B74" w:rsidP="00665728">
            <w:r w:rsidRPr="00D76917">
              <w:t>excipient</w:t>
            </w:r>
          </w:p>
        </w:tc>
        <w:tc>
          <w:tcPr>
            <w:tcW w:w="4203" w:type="dxa"/>
          </w:tcPr>
          <w:p w14:paraId="639FCB8C" w14:textId="38EF7AFB" w:rsidR="00170B74" w:rsidRPr="00D47F1A" w:rsidRDefault="00170B74" w:rsidP="00665728">
            <w:r w:rsidRPr="00CA45FE">
              <w:t>n/a</w:t>
            </w:r>
          </w:p>
        </w:tc>
      </w:tr>
      <w:tr w:rsidR="00170B74" w:rsidRPr="00D47F1A" w14:paraId="562CF103" w14:textId="1E861799" w:rsidTr="005C3981">
        <w:tc>
          <w:tcPr>
            <w:tcW w:w="2318" w:type="dxa"/>
          </w:tcPr>
          <w:p w14:paraId="6F4571D5" w14:textId="77777777" w:rsidR="00170B74" w:rsidRPr="00D47F1A" w:rsidRDefault="00170B74" w:rsidP="00665728">
            <w:r w:rsidRPr="00D47F1A">
              <w:t>Saccharin</w:t>
            </w:r>
          </w:p>
        </w:tc>
        <w:tc>
          <w:tcPr>
            <w:tcW w:w="1709" w:type="dxa"/>
          </w:tcPr>
          <w:p w14:paraId="58973044" w14:textId="6650C3A0" w:rsidR="00170B74" w:rsidRPr="00D76917" w:rsidRDefault="001A4055" w:rsidP="00665728">
            <w:r w:rsidRPr="001A4055">
              <w:t>FST467XS7D</w:t>
            </w:r>
          </w:p>
        </w:tc>
        <w:tc>
          <w:tcPr>
            <w:tcW w:w="1755" w:type="dxa"/>
          </w:tcPr>
          <w:p w14:paraId="398C11F8" w14:textId="14C4AFC1" w:rsidR="00170B74" w:rsidRPr="00D47F1A" w:rsidRDefault="00170B74" w:rsidP="00665728">
            <w:r w:rsidRPr="00D76917">
              <w:t>excipient</w:t>
            </w:r>
          </w:p>
        </w:tc>
        <w:tc>
          <w:tcPr>
            <w:tcW w:w="4203" w:type="dxa"/>
          </w:tcPr>
          <w:p w14:paraId="19440726" w14:textId="564DBB03" w:rsidR="00170B74" w:rsidRPr="00D47F1A" w:rsidRDefault="00170B74" w:rsidP="00665728">
            <w:r w:rsidRPr="00CA45FE">
              <w:t>n/a</w:t>
            </w:r>
          </w:p>
        </w:tc>
      </w:tr>
      <w:tr w:rsidR="00170B74" w:rsidRPr="00D47F1A" w14:paraId="1112B3A6" w14:textId="4DE83DE7" w:rsidTr="005C3981">
        <w:tc>
          <w:tcPr>
            <w:tcW w:w="2318" w:type="dxa"/>
          </w:tcPr>
          <w:p w14:paraId="1526EB04" w14:textId="77777777" w:rsidR="00170B74" w:rsidRPr="00D47F1A" w:rsidRDefault="00170B74" w:rsidP="00665728">
            <w:r w:rsidRPr="00D47F1A">
              <w:t>Sucrose</w:t>
            </w:r>
          </w:p>
        </w:tc>
        <w:tc>
          <w:tcPr>
            <w:tcW w:w="1709" w:type="dxa"/>
          </w:tcPr>
          <w:p w14:paraId="42054889" w14:textId="3EEAFE4F" w:rsidR="00170B74" w:rsidRPr="00D76917" w:rsidRDefault="00530FF2" w:rsidP="00665728">
            <w:r w:rsidRPr="00530FF2">
              <w:t>C151H8M554</w:t>
            </w:r>
          </w:p>
        </w:tc>
        <w:tc>
          <w:tcPr>
            <w:tcW w:w="1755" w:type="dxa"/>
          </w:tcPr>
          <w:p w14:paraId="589C77B2" w14:textId="10DE7A44" w:rsidR="00170B74" w:rsidRPr="00D47F1A" w:rsidRDefault="00170B74" w:rsidP="00665728">
            <w:r w:rsidRPr="00D76917">
              <w:t>excipient</w:t>
            </w:r>
          </w:p>
        </w:tc>
        <w:tc>
          <w:tcPr>
            <w:tcW w:w="4203" w:type="dxa"/>
          </w:tcPr>
          <w:p w14:paraId="619BA28E" w14:textId="7F0C3508" w:rsidR="00170B74" w:rsidRPr="00D47F1A" w:rsidRDefault="00170B74" w:rsidP="00665728">
            <w:r w:rsidRPr="00CA45FE">
              <w:t>n/a</w:t>
            </w:r>
          </w:p>
        </w:tc>
      </w:tr>
    </w:tbl>
    <w:p w14:paraId="5F247083" w14:textId="77777777" w:rsidR="00D54421" w:rsidRDefault="00D54421" w:rsidP="002F7AD9"/>
    <w:p w14:paraId="6BCECE25" w14:textId="77777777" w:rsidR="002F7AD9" w:rsidRDefault="002F7AD9" w:rsidP="002F7AD9">
      <w:pPr>
        <w:pStyle w:val="Heading1"/>
      </w:pPr>
      <w:r>
        <w:t>Substance</w:t>
      </w:r>
    </w:p>
    <w:p w14:paraId="0B653905" w14:textId="6E593BC4" w:rsidR="00D54421" w:rsidRDefault="005C3981" w:rsidP="002F7AD9">
      <w:r>
        <w:t>Don’t need substance resource anymore</w:t>
      </w:r>
    </w:p>
    <w:p w14:paraId="632201B9" w14:textId="77777777" w:rsidR="002F7AD9" w:rsidRDefault="002F7AD9" w:rsidP="002F7AD9">
      <w:pPr>
        <w:pStyle w:val="Heading1"/>
      </w:pPr>
      <w:r>
        <w:t>Clinical use issue</w:t>
      </w:r>
    </w:p>
    <w:p w14:paraId="4453D16C" w14:textId="7773F38C" w:rsidR="00D54421" w:rsidRDefault="002F7AD9" w:rsidP="00D54421">
      <w:r w:rsidRPr="00957E54">
        <w:rPr>
          <w:u w:val="single"/>
        </w:rPr>
        <w:t>Indicatio</w:t>
      </w:r>
      <w:r w:rsidR="005B3C02">
        <w:rPr>
          <w:u w:val="single"/>
        </w:rPr>
        <w:t>ns</w:t>
      </w:r>
      <w:r>
        <w:t xml:space="preserve"> </w:t>
      </w:r>
    </w:p>
    <w:tbl>
      <w:tblPr>
        <w:tblStyle w:val="TableGridLight"/>
        <w:tblW w:w="8922" w:type="dxa"/>
        <w:tblLook w:val="04A0" w:firstRow="1" w:lastRow="0" w:firstColumn="1" w:lastColumn="0" w:noHBand="0" w:noVBand="1"/>
      </w:tblPr>
      <w:tblGrid>
        <w:gridCol w:w="3145"/>
        <w:gridCol w:w="3150"/>
        <w:gridCol w:w="2627"/>
      </w:tblGrid>
      <w:tr w:rsidR="0009028E" w:rsidRPr="0093465E" w14:paraId="698BEF5A" w14:textId="77777777" w:rsidTr="00146BBC">
        <w:trPr>
          <w:trHeight w:val="288"/>
        </w:trPr>
        <w:tc>
          <w:tcPr>
            <w:tcW w:w="3145" w:type="dxa"/>
            <w:noWrap/>
            <w:hideMark/>
          </w:tcPr>
          <w:p w14:paraId="11DEE5B8" w14:textId="16E5D788" w:rsidR="0009028E" w:rsidRPr="0093465E" w:rsidRDefault="0009028E" w:rsidP="0093465E">
            <w:pPr>
              <w:jc w:val="center"/>
              <w:rPr>
                <w:rFonts w:ascii="Calibri" w:eastAsia="Times New Roman" w:hAnsi="Calibri" w:cs="Times New Roman"/>
                <w:b/>
                <w:bCs/>
                <w:color w:val="2E6E9E"/>
                <w:sz w:val="24"/>
                <w:szCs w:val="24"/>
              </w:rPr>
            </w:pPr>
            <w:r w:rsidRPr="0093465E">
              <w:rPr>
                <w:rFonts w:ascii="Calibri" w:eastAsia="Times New Roman" w:hAnsi="Calibri" w:cs="Times New Roman"/>
                <w:b/>
                <w:bCs/>
                <w:color w:val="2E6E9E"/>
                <w:sz w:val="24"/>
                <w:szCs w:val="24"/>
              </w:rPr>
              <w:t> </w:t>
            </w:r>
            <w:r w:rsidR="00146BBC">
              <w:rPr>
                <w:rFonts w:ascii="Calibri" w:eastAsia="Times New Roman" w:hAnsi="Calibri" w:cs="Times New Roman"/>
                <w:b/>
                <w:bCs/>
                <w:color w:val="2E6E9E"/>
                <w:sz w:val="24"/>
                <w:szCs w:val="24"/>
              </w:rPr>
              <w:t>Term</w:t>
            </w:r>
          </w:p>
        </w:tc>
        <w:tc>
          <w:tcPr>
            <w:tcW w:w="3150" w:type="dxa"/>
          </w:tcPr>
          <w:p w14:paraId="7CA97550" w14:textId="3185EC1D" w:rsidR="0009028E" w:rsidRPr="0093465E" w:rsidRDefault="0009028E" w:rsidP="0093465E">
            <w:pPr>
              <w:jc w:val="center"/>
              <w:rPr>
                <w:rFonts w:ascii="Calibri" w:eastAsia="Times New Roman" w:hAnsi="Calibri" w:cs="Times New Roman"/>
                <w:b/>
                <w:bCs/>
                <w:color w:val="2E6E9E"/>
                <w:sz w:val="24"/>
                <w:szCs w:val="24"/>
              </w:rPr>
            </w:pPr>
            <w:r>
              <w:rPr>
                <w:rFonts w:ascii="Calibri" w:eastAsia="Times New Roman" w:hAnsi="Calibri" w:cs="Times New Roman"/>
                <w:b/>
                <w:bCs/>
                <w:color w:val="2E6E9E"/>
                <w:sz w:val="24"/>
                <w:szCs w:val="24"/>
              </w:rPr>
              <w:t>MedDRA Code</w:t>
            </w:r>
          </w:p>
        </w:tc>
        <w:tc>
          <w:tcPr>
            <w:tcW w:w="2627" w:type="dxa"/>
          </w:tcPr>
          <w:p w14:paraId="46C75EC8" w14:textId="1B280BE7" w:rsidR="0009028E" w:rsidRPr="0093465E" w:rsidRDefault="0009028E" w:rsidP="0093465E">
            <w:pPr>
              <w:jc w:val="center"/>
              <w:rPr>
                <w:rFonts w:ascii="Calibri" w:eastAsia="Times New Roman" w:hAnsi="Calibri" w:cs="Times New Roman"/>
                <w:b/>
                <w:bCs/>
                <w:color w:val="2E6E9E"/>
                <w:sz w:val="24"/>
                <w:szCs w:val="24"/>
              </w:rPr>
            </w:pPr>
            <w:r>
              <w:rPr>
                <w:rFonts w:ascii="Calibri" w:eastAsia="Times New Roman" w:hAnsi="Calibri" w:cs="Times New Roman"/>
                <w:b/>
                <w:bCs/>
                <w:color w:val="2E6E9E"/>
                <w:sz w:val="24"/>
                <w:szCs w:val="24"/>
              </w:rPr>
              <w:t>System</w:t>
            </w:r>
          </w:p>
        </w:tc>
      </w:tr>
      <w:tr w:rsidR="0009028E" w:rsidRPr="0093465E" w14:paraId="7368C218" w14:textId="77777777" w:rsidTr="00146BBC">
        <w:trPr>
          <w:trHeight w:val="494"/>
        </w:trPr>
        <w:tc>
          <w:tcPr>
            <w:tcW w:w="3145" w:type="dxa"/>
            <w:hideMark/>
          </w:tcPr>
          <w:p w14:paraId="2B4EA45E" w14:textId="1A6E9001" w:rsidR="0009028E" w:rsidRPr="00697569" w:rsidRDefault="00697569" w:rsidP="00697569">
            <w:r w:rsidRPr="00697569">
              <w:t>CYSTITIS</w:t>
            </w:r>
          </w:p>
        </w:tc>
        <w:tc>
          <w:tcPr>
            <w:tcW w:w="3150" w:type="dxa"/>
            <w:hideMark/>
          </w:tcPr>
          <w:p w14:paraId="03046412" w14:textId="0DD020F1" w:rsidR="0009028E" w:rsidRPr="00697569" w:rsidRDefault="00697569" w:rsidP="00697569">
            <w:r w:rsidRPr="00697569">
              <w:t>10011781</w:t>
            </w:r>
          </w:p>
        </w:tc>
        <w:tc>
          <w:tcPr>
            <w:tcW w:w="2627" w:type="dxa"/>
            <w:hideMark/>
          </w:tcPr>
          <w:p w14:paraId="5A7FC9AC" w14:textId="4B26260A" w:rsidR="0009028E" w:rsidRPr="00697569" w:rsidRDefault="00697569" w:rsidP="00697569">
            <w:r w:rsidRPr="00697569">
              <w:t>INFECTIONS AND INFESTATIONS</w:t>
            </w:r>
          </w:p>
        </w:tc>
      </w:tr>
      <w:tr w:rsidR="0009028E" w:rsidRPr="0093465E" w14:paraId="0AD66F04" w14:textId="77777777" w:rsidTr="00146BBC">
        <w:trPr>
          <w:trHeight w:val="498"/>
        </w:trPr>
        <w:tc>
          <w:tcPr>
            <w:tcW w:w="3145" w:type="dxa"/>
            <w:hideMark/>
          </w:tcPr>
          <w:p w14:paraId="6335524B" w14:textId="77777777" w:rsidR="0009028E" w:rsidRPr="0093465E" w:rsidRDefault="0009028E" w:rsidP="0093465E">
            <w:pPr>
              <w:rPr>
                <w:rFonts w:ascii="Calibri" w:eastAsia="Times New Roman" w:hAnsi="Calibri" w:cs="Times New Roman"/>
                <w:color w:val="363636"/>
                <w:sz w:val="24"/>
                <w:szCs w:val="24"/>
              </w:rPr>
            </w:pPr>
            <w:r w:rsidRPr="0093465E">
              <w:rPr>
                <w:rFonts w:ascii="Calibri" w:eastAsia="Times New Roman" w:hAnsi="Calibri" w:cs="Times New Roman"/>
                <w:color w:val="363636"/>
                <w:sz w:val="24"/>
                <w:szCs w:val="24"/>
              </w:rPr>
              <w:t>BIOPSY PROSTATE</w:t>
            </w:r>
          </w:p>
        </w:tc>
        <w:tc>
          <w:tcPr>
            <w:tcW w:w="3150" w:type="dxa"/>
            <w:hideMark/>
          </w:tcPr>
          <w:p w14:paraId="0FA2E968" w14:textId="77777777" w:rsidR="0009028E" w:rsidRPr="0093465E" w:rsidRDefault="0009028E" w:rsidP="0093465E">
            <w:pPr>
              <w:rPr>
                <w:rFonts w:ascii="Calibri" w:eastAsia="Times New Roman" w:hAnsi="Calibri" w:cs="Times New Roman"/>
                <w:color w:val="363636"/>
                <w:sz w:val="24"/>
                <w:szCs w:val="24"/>
              </w:rPr>
            </w:pPr>
            <w:r w:rsidRPr="0093465E">
              <w:rPr>
                <w:rFonts w:ascii="Calibri" w:eastAsia="Times New Roman" w:hAnsi="Calibri" w:cs="Times New Roman"/>
                <w:color w:val="363636"/>
                <w:sz w:val="24"/>
                <w:szCs w:val="24"/>
              </w:rPr>
              <w:t>10004857</w:t>
            </w:r>
          </w:p>
        </w:tc>
        <w:tc>
          <w:tcPr>
            <w:tcW w:w="2627" w:type="dxa"/>
            <w:hideMark/>
          </w:tcPr>
          <w:p w14:paraId="77E0EC4E" w14:textId="77777777" w:rsidR="0009028E" w:rsidRPr="0093465E" w:rsidRDefault="0009028E" w:rsidP="0093465E">
            <w:pPr>
              <w:rPr>
                <w:rFonts w:ascii="Calibri" w:eastAsia="Times New Roman" w:hAnsi="Calibri" w:cs="Times New Roman"/>
                <w:color w:val="363636"/>
                <w:sz w:val="24"/>
                <w:szCs w:val="24"/>
              </w:rPr>
            </w:pPr>
            <w:r w:rsidRPr="0093465E">
              <w:rPr>
                <w:rFonts w:ascii="Calibri" w:eastAsia="Times New Roman" w:hAnsi="Calibri" w:cs="Times New Roman"/>
                <w:color w:val="363636"/>
                <w:sz w:val="24"/>
                <w:szCs w:val="24"/>
              </w:rPr>
              <w:t>INVESTIGATIONS</w:t>
            </w:r>
          </w:p>
        </w:tc>
      </w:tr>
    </w:tbl>
    <w:p w14:paraId="03F30D87" w14:textId="77777777" w:rsidR="0093465E" w:rsidRPr="0093465E" w:rsidRDefault="0093465E" w:rsidP="00D54421"/>
    <w:p w14:paraId="60E5283D" w14:textId="4913FE11" w:rsidR="00D54421" w:rsidRDefault="002F7AD9" w:rsidP="00D54421">
      <w:r w:rsidRPr="00957E54">
        <w:rPr>
          <w:u w:val="single"/>
        </w:rPr>
        <w:t>Contraindication</w:t>
      </w:r>
    </w:p>
    <w:tbl>
      <w:tblPr>
        <w:tblStyle w:val="TableGridLight"/>
        <w:tblW w:w="8922" w:type="dxa"/>
        <w:tblLook w:val="04A0" w:firstRow="1" w:lastRow="0" w:firstColumn="1" w:lastColumn="0" w:noHBand="0" w:noVBand="1"/>
      </w:tblPr>
      <w:tblGrid>
        <w:gridCol w:w="3145"/>
        <w:gridCol w:w="3150"/>
        <w:gridCol w:w="2627"/>
      </w:tblGrid>
      <w:tr w:rsidR="002B453A" w:rsidRPr="0093465E" w14:paraId="2F63A837" w14:textId="77777777" w:rsidTr="00A42181">
        <w:trPr>
          <w:trHeight w:val="288"/>
        </w:trPr>
        <w:tc>
          <w:tcPr>
            <w:tcW w:w="3145" w:type="dxa"/>
            <w:noWrap/>
            <w:hideMark/>
          </w:tcPr>
          <w:p w14:paraId="6ED89BA6" w14:textId="77777777" w:rsidR="002B453A" w:rsidRPr="0093465E" w:rsidRDefault="002B453A" w:rsidP="00A42181">
            <w:pPr>
              <w:jc w:val="center"/>
              <w:rPr>
                <w:rFonts w:ascii="Calibri" w:eastAsia="Times New Roman" w:hAnsi="Calibri" w:cs="Times New Roman"/>
                <w:b/>
                <w:bCs/>
                <w:color w:val="2E6E9E"/>
                <w:sz w:val="24"/>
                <w:szCs w:val="24"/>
              </w:rPr>
            </w:pPr>
            <w:r w:rsidRPr="0093465E">
              <w:rPr>
                <w:rFonts w:ascii="Calibri" w:eastAsia="Times New Roman" w:hAnsi="Calibri" w:cs="Times New Roman"/>
                <w:b/>
                <w:bCs/>
                <w:color w:val="2E6E9E"/>
                <w:sz w:val="24"/>
                <w:szCs w:val="24"/>
              </w:rPr>
              <w:t> </w:t>
            </w:r>
            <w:r>
              <w:rPr>
                <w:rFonts w:ascii="Calibri" w:eastAsia="Times New Roman" w:hAnsi="Calibri" w:cs="Times New Roman"/>
                <w:b/>
                <w:bCs/>
                <w:color w:val="2E6E9E"/>
                <w:sz w:val="24"/>
                <w:szCs w:val="24"/>
              </w:rPr>
              <w:t>Term</w:t>
            </w:r>
          </w:p>
        </w:tc>
        <w:tc>
          <w:tcPr>
            <w:tcW w:w="3150" w:type="dxa"/>
          </w:tcPr>
          <w:p w14:paraId="06D82446" w14:textId="77777777" w:rsidR="002B453A" w:rsidRPr="0093465E" w:rsidRDefault="002B453A" w:rsidP="00A42181">
            <w:pPr>
              <w:jc w:val="center"/>
              <w:rPr>
                <w:rFonts w:ascii="Calibri" w:eastAsia="Times New Roman" w:hAnsi="Calibri" w:cs="Times New Roman"/>
                <w:b/>
                <w:bCs/>
                <w:color w:val="2E6E9E"/>
                <w:sz w:val="24"/>
                <w:szCs w:val="24"/>
              </w:rPr>
            </w:pPr>
            <w:r>
              <w:rPr>
                <w:rFonts w:ascii="Calibri" w:eastAsia="Times New Roman" w:hAnsi="Calibri" w:cs="Times New Roman"/>
                <w:b/>
                <w:bCs/>
                <w:color w:val="2E6E9E"/>
                <w:sz w:val="24"/>
                <w:szCs w:val="24"/>
              </w:rPr>
              <w:t>MedDRA Code</w:t>
            </w:r>
          </w:p>
        </w:tc>
        <w:tc>
          <w:tcPr>
            <w:tcW w:w="2627" w:type="dxa"/>
          </w:tcPr>
          <w:p w14:paraId="2CF43360" w14:textId="77777777" w:rsidR="002B453A" w:rsidRPr="0093465E" w:rsidRDefault="002B453A" w:rsidP="00A42181">
            <w:pPr>
              <w:jc w:val="center"/>
              <w:rPr>
                <w:rFonts w:ascii="Calibri" w:eastAsia="Times New Roman" w:hAnsi="Calibri" w:cs="Times New Roman"/>
                <w:b/>
                <w:bCs/>
                <w:color w:val="2E6E9E"/>
                <w:sz w:val="24"/>
                <w:szCs w:val="24"/>
              </w:rPr>
            </w:pPr>
            <w:r>
              <w:rPr>
                <w:rFonts w:ascii="Calibri" w:eastAsia="Times New Roman" w:hAnsi="Calibri" w:cs="Times New Roman"/>
                <w:b/>
                <w:bCs/>
                <w:color w:val="2E6E9E"/>
                <w:sz w:val="24"/>
                <w:szCs w:val="24"/>
              </w:rPr>
              <w:t>System</w:t>
            </w:r>
          </w:p>
        </w:tc>
      </w:tr>
      <w:tr w:rsidR="002B453A" w:rsidRPr="0093465E" w14:paraId="6E50F7AD" w14:textId="77777777" w:rsidTr="002B453A">
        <w:trPr>
          <w:trHeight w:val="494"/>
        </w:trPr>
        <w:tc>
          <w:tcPr>
            <w:tcW w:w="3145" w:type="dxa"/>
          </w:tcPr>
          <w:p w14:paraId="1D39249E" w14:textId="7527DD52" w:rsidR="002B453A" w:rsidRPr="00697569" w:rsidRDefault="006370E2" w:rsidP="00A42181">
            <w:r w:rsidRPr="006370E2">
              <w:t>DRUG HYPERSENSITIVITY</w:t>
            </w:r>
            <w:r w:rsidRPr="006370E2">
              <w:tab/>
            </w:r>
            <w:r w:rsidRPr="006370E2">
              <w:tab/>
            </w:r>
          </w:p>
        </w:tc>
        <w:tc>
          <w:tcPr>
            <w:tcW w:w="3150" w:type="dxa"/>
          </w:tcPr>
          <w:p w14:paraId="343E84AF" w14:textId="15627C4B" w:rsidR="002B453A" w:rsidRPr="00697569" w:rsidRDefault="006370E2" w:rsidP="00A42181">
            <w:r w:rsidRPr="006370E2">
              <w:t>10013700</w:t>
            </w:r>
          </w:p>
        </w:tc>
        <w:tc>
          <w:tcPr>
            <w:tcW w:w="2627" w:type="dxa"/>
          </w:tcPr>
          <w:p w14:paraId="5D750BC2" w14:textId="28DC9FB0" w:rsidR="002B453A" w:rsidRPr="00697569" w:rsidRDefault="006370E2" w:rsidP="00A42181">
            <w:r w:rsidRPr="006370E2">
              <w:t>IMMUNE SYSTEM DISORDERS</w:t>
            </w:r>
          </w:p>
        </w:tc>
      </w:tr>
    </w:tbl>
    <w:p w14:paraId="1F06A4D3" w14:textId="77777777" w:rsidR="005B3C02" w:rsidRDefault="005B3C02" w:rsidP="00D54421"/>
    <w:p w14:paraId="34BBAF8F" w14:textId="11681473" w:rsidR="002F7AD9" w:rsidRPr="00957E54" w:rsidRDefault="002F7AD9" w:rsidP="00D54421">
      <w:pPr>
        <w:rPr>
          <w:u w:val="single"/>
        </w:rPr>
      </w:pPr>
      <w:r w:rsidRPr="00957E54">
        <w:rPr>
          <w:u w:val="single"/>
        </w:rPr>
        <w:t>Interactions</w:t>
      </w:r>
    </w:p>
    <w:tbl>
      <w:tblPr>
        <w:tblStyle w:val="TableGridLight"/>
        <w:tblW w:w="0" w:type="auto"/>
        <w:tblLook w:val="04A0" w:firstRow="1" w:lastRow="0" w:firstColumn="1" w:lastColumn="0" w:noHBand="0" w:noVBand="1"/>
      </w:tblPr>
      <w:tblGrid>
        <w:gridCol w:w="3116"/>
        <w:gridCol w:w="3117"/>
        <w:gridCol w:w="3117"/>
      </w:tblGrid>
      <w:tr w:rsidR="00521B8B" w:rsidRPr="00521B8B" w14:paraId="6FD6AF9A" w14:textId="77777777" w:rsidTr="00521B8B">
        <w:tc>
          <w:tcPr>
            <w:tcW w:w="3116" w:type="dxa"/>
          </w:tcPr>
          <w:p w14:paraId="2840C29C" w14:textId="25EE20E7" w:rsidR="00521B8B" w:rsidRPr="00521B8B" w:rsidRDefault="00521B8B" w:rsidP="00F03500">
            <w:pPr>
              <w:rPr>
                <w:b/>
                <w:bCs/>
              </w:rPr>
            </w:pPr>
            <w:r w:rsidRPr="00521B8B">
              <w:rPr>
                <w:b/>
                <w:bCs/>
              </w:rPr>
              <w:t>Substance or Class</w:t>
            </w:r>
          </w:p>
        </w:tc>
        <w:tc>
          <w:tcPr>
            <w:tcW w:w="3117" w:type="dxa"/>
          </w:tcPr>
          <w:p w14:paraId="5776B3E9" w14:textId="40E7B78B" w:rsidR="00521B8B" w:rsidRPr="00521B8B" w:rsidRDefault="00521B8B" w:rsidP="00F03500">
            <w:pPr>
              <w:rPr>
                <w:b/>
                <w:bCs/>
              </w:rPr>
            </w:pPr>
            <w:r w:rsidRPr="00521B8B">
              <w:rPr>
                <w:b/>
                <w:bCs/>
              </w:rPr>
              <w:t>Code</w:t>
            </w:r>
          </w:p>
        </w:tc>
        <w:tc>
          <w:tcPr>
            <w:tcW w:w="3117" w:type="dxa"/>
          </w:tcPr>
          <w:p w14:paraId="7FE0D84B" w14:textId="20C5A79D" w:rsidR="00521B8B" w:rsidRPr="00521B8B" w:rsidRDefault="00521B8B" w:rsidP="00F03500">
            <w:pPr>
              <w:rPr>
                <w:b/>
                <w:bCs/>
              </w:rPr>
            </w:pPr>
            <w:r w:rsidRPr="00521B8B">
              <w:rPr>
                <w:b/>
                <w:bCs/>
              </w:rPr>
              <w:t>System</w:t>
            </w:r>
          </w:p>
        </w:tc>
      </w:tr>
      <w:tr w:rsidR="00521B8B" w:rsidRPr="00521B8B" w14:paraId="63DA34AF" w14:textId="77777777" w:rsidTr="00521B8B">
        <w:tc>
          <w:tcPr>
            <w:tcW w:w="3116" w:type="dxa"/>
          </w:tcPr>
          <w:p w14:paraId="5193D8D5" w14:textId="77777777" w:rsidR="00521B8B" w:rsidRPr="00521B8B" w:rsidRDefault="00521B8B" w:rsidP="00F03500">
            <w:r w:rsidRPr="00521B8B">
              <w:t>Metoclopramide</w:t>
            </w:r>
          </w:p>
        </w:tc>
        <w:tc>
          <w:tcPr>
            <w:tcW w:w="3117" w:type="dxa"/>
          </w:tcPr>
          <w:p w14:paraId="2FF23B45" w14:textId="77777777" w:rsidR="00521B8B" w:rsidRPr="00521B8B" w:rsidRDefault="00521B8B" w:rsidP="00F03500">
            <w:r w:rsidRPr="00521B8B">
              <w:t>L4YEB44I46</w:t>
            </w:r>
          </w:p>
        </w:tc>
        <w:tc>
          <w:tcPr>
            <w:tcW w:w="3117" w:type="dxa"/>
          </w:tcPr>
          <w:p w14:paraId="7AD8A260" w14:textId="77777777" w:rsidR="00521B8B" w:rsidRPr="00521B8B" w:rsidRDefault="00521B8B" w:rsidP="00F03500">
            <w:r w:rsidRPr="00521B8B">
              <w:t>G-SRS</w:t>
            </w:r>
          </w:p>
        </w:tc>
      </w:tr>
      <w:tr w:rsidR="00521B8B" w:rsidRPr="00521B8B" w14:paraId="1D814EE7" w14:textId="77777777" w:rsidTr="00521B8B">
        <w:tc>
          <w:tcPr>
            <w:tcW w:w="3116" w:type="dxa"/>
          </w:tcPr>
          <w:p w14:paraId="4524087F" w14:textId="77777777" w:rsidR="00521B8B" w:rsidRPr="00521B8B" w:rsidRDefault="00521B8B" w:rsidP="00F03500">
            <w:r w:rsidRPr="00521B8B">
              <w:t>Fluoroquinolone Antibacterial [EPC]</w:t>
            </w:r>
          </w:p>
        </w:tc>
        <w:tc>
          <w:tcPr>
            <w:tcW w:w="3117" w:type="dxa"/>
          </w:tcPr>
          <w:p w14:paraId="1266D1B2" w14:textId="77777777" w:rsidR="00521B8B" w:rsidRPr="00521B8B" w:rsidRDefault="00521B8B" w:rsidP="00F03500">
            <w:r w:rsidRPr="00521B8B">
              <w:t>N0000193223</w:t>
            </w:r>
          </w:p>
        </w:tc>
        <w:tc>
          <w:tcPr>
            <w:tcW w:w="3117" w:type="dxa"/>
          </w:tcPr>
          <w:p w14:paraId="0D87602D" w14:textId="77777777" w:rsidR="00521B8B" w:rsidRPr="00521B8B" w:rsidRDefault="00521B8B" w:rsidP="00F03500">
            <w:r w:rsidRPr="00521B8B">
              <w:t>MED-RT</w:t>
            </w:r>
          </w:p>
        </w:tc>
      </w:tr>
      <w:tr w:rsidR="00521B8B" w:rsidRPr="00521B8B" w14:paraId="28333192" w14:textId="77777777" w:rsidTr="00521B8B">
        <w:tc>
          <w:tcPr>
            <w:tcW w:w="3116" w:type="dxa"/>
          </w:tcPr>
          <w:p w14:paraId="04BCC25F" w14:textId="77777777" w:rsidR="00521B8B" w:rsidRPr="00521B8B" w:rsidRDefault="00521B8B" w:rsidP="00F03500">
            <w:r w:rsidRPr="00521B8B">
              <w:lastRenderedPageBreak/>
              <w:t>Macrolides [Chemical/Ingredient]</w:t>
            </w:r>
          </w:p>
        </w:tc>
        <w:tc>
          <w:tcPr>
            <w:tcW w:w="3117" w:type="dxa"/>
          </w:tcPr>
          <w:p w14:paraId="587970CE" w14:textId="77777777" w:rsidR="00521B8B" w:rsidRPr="00521B8B" w:rsidRDefault="00521B8B" w:rsidP="00F03500">
            <w:r w:rsidRPr="00521B8B">
              <w:t>N0000175431</w:t>
            </w:r>
          </w:p>
        </w:tc>
        <w:tc>
          <w:tcPr>
            <w:tcW w:w="3117" w:type="dxa"/>
          </w:tcPr>
          <w:p w14:paraId="45E974D0" w14:textId="77777777" w:rsidR="00521B8B" w:rsidRPr="00521B8B" w:rsidRDefault="00521B8B" w:rsidP="00F03500">
            <w:r w:rsidRPr="00521B8B">
              <w:t>MED-RT</w:t>
            </w:r>
          </w:p>
        </w:tc>
      </w:tr>
      <w:tr w:rsidR="00521B8B" w:rsidRPr="00521B8B" w14:paraId="629D4002" w14:textId="77777777" w:rsidTr="00521B8B">
        <w:tc>
          <w:tcPr>
            <w:tcW w:w="3116" w:type="dxa"/>
          </w:tcPr>
          <w:p w14:paraId="4F0177FE" w14:textId="77777777" w:rsidR="00521B8B" w:rsidRPr="00521B8B" w:rsidRDefault="00521B8B" w:rsidP="00F03500">
            <w:r w:rsidRPr="00521B8B">
              <w:t>Cephalosporin Antibacterial [EPC]</w:t>
            </w:r>
          </w:p>
        </w:tc>
        <w:tc>
          <w:tcPr>
            <w:tcW w:w="3117" w:type="dxa"/>
          </w:tcPr>
          <w:p w14:paraId="06652FD5" w14:textId="77777777" w:rsidR="00521B8B" w:rsidRPr="00521B8B" w:rsidRDefault="00521B8B" w:rsidP="00F03500">
            <w:r w:rsidRPr="00521B8B">
              <w:t>N0000175488</w:t>
            </w:r>
          </w:p>
        </w:tc>
        <w:tc>
          <w:tcPr>
            <w:tcW w:w="3117" w:type="dxa"/>
          </w:tcPr>
          <w:p w14:paraId="72E8A8B6" w14:textId="77777777" w:rsidR="00521B8B" w:rsidRPr="00521B8B" w:rsidRDefault="00521B8B" w:rsidP="00F03500">
            <w:r w:rsidRPr="00521B8B">
              <w:t>MED-RT</w:t>
            </w:r>
          </w:p>
        </w:tc>
      </w:tr>
      <w:tr w:rsidR="00521B8B" w:rsidRPr="00521B8B" w14:paraId="1E838E2B" w14:textId="77777777" w:rsidTr="00521B8B">
        <w:tc>
          <w:tcPr>
            <w:tcW w:w="3116" w:type="dxa"/>
          </w:tcPr>
          <w:p w14:paraId="45AD6A2A" w14:textId="77777777" w:rsidR="00521B8B" w:rsidRPr="00521B8B" w:rsidRDefault="00521B8B" w:rsidP="00F03500">
            <w:r w:rsidRPr="00521B8B">
              <w:t>Tetracycline-class Antibacterial [EPC]</w:t>
            </w:r>
          </w:p>
        </w:tc>
        <w:tc>
          <w:tcPr>
            <w:tcW w:w="3117" w:type="dxa"/>
          </w:tcPr>
          <w:p w14:paraId="28CE9424" w14:textId="77777777" w:rsidR="00521B8B" w:rsidRPr="00521B8B" w:rsidRDefault="00521B8B" w:rsidP="00F03500">
            <w:r w:rsidRPr="00521B8B">
              <w:t>N0000175938</w:t>
            </w:r>
          </w:p>
        </w:tc>
        <w:tc>
          <w:tcPr>
            <w:tcW w:w="3117" w:type="dxa"/>
          </w:tcPr>
          <w:p w14:paraId="1815FC7A" w14:textId="77777777" w:rsidR="00521B8B" w:rsidRPr="00521B8B" w:rsidRDefault="00521B8B" w:rsidP="00F03500">
            <w:r w:rsidRPr="00521B8B">
              <w:t>MED-RT</w:t>
            </w:r>
          </w:p>
        </w:tc>
      </w:tr>
    </w:tbl>
    <w:p w14:paraId="272466AD" w14:textId="77777777" w:rsidR="00117CCA" w:rsidRDefault="00117CCA" w:rsidP="00117CCA"/>
    <w:p w14:paraId="1F336F4E" w14:textId="2AE17A7A" w:rsidR="002F7AD9" w:rsidRPr="00117CCA" w:rsidRDefault="002F7AD9" w:rsidP="00117CCA">
      <w:pPr>
        <w:rPr>
          <w:u w:val="single"/>
        </w:rPr>
      </w:pPr>
      <w:r w:rsidRPr="00117CCA">
        <w:rPr>
          <w:u w:val="single"/>
        </w:rPr>
        <w:t>Undesirable effects</w:t>
      </w:r>
    </w:p>
    <w:tbl>
      <w:tblPr>
        <w:tblStyle w:val="TableGridLight"/>
        <w:tblW w:w="9984" w:type="dxa"/>
        <w:tblLook w:val="04A0" w:firstRow="1" w:lastRow="0" w:firstColumn="1" w:lastColumn="0" w:noHBand="0" w:noVBand="1"/>
      </w:tblPr>
      <w:tblGrid>
        <w:gridCol w:w="3143"/>
        <w:gridCol w:w="3099"/>
        <w:gridCol w:w="3742"/>
      </w:tblGrid>
      <w:tr w:rsidR="0055707A" w:rsidRPr="0055707A" w14:paraId="364A0F2C" w14:textId="40CC27DC" w:rsidTr="0055707A">
        <w:trPr>
          <w:trHeight w:val="100"/>
        </w:trPr>
        <w:tc>
          <w:tcPr>
            <w:tcW w:w="1574" w:type="pct"/>
            <w:hideMark/>
          </w:tcPr>
          <w:p w14:paraId="47D254B3" w14:textId="77777777" w:rsidR="0055707A" w:rsidRPr="00793299" w:rsidRDefault="0055707A" w:rsidP="00793299">
            <w:pPr>
              <w:rPr>
                <w:rFonts w:ascii="Arial" w:eastAsia="Times New Roman" w:hAnsi="Arial" w:cs="Arial"/>
                <w:b/>
                <w:bCs/>
                <w:color w:val="000000"/>
                <w:sz w:val="20"/>
                <w:szCs w:val="20"/>
              </w:rPr>
            </w:pPr>
            <w:r w:rsidRPr="00793299">
              <w:rPr>
                <w:rFonts w:ascii="Arial" w:eastAsia="Times New Roman" w:hAnsi="Arial" w:cs="Arial"/>
                <w:b/>
                <w:bCs/>
                <w:color w:val="000000"/>
                <w:sz w:val="20"/>
                <w:szCs w:val="20"/>
              </w:rPr>
              <w:t>System organ class</w:t>
            </w:r>
          </w:p>
        </w:tc>
        <w:tc>
          <w:tcPr>
            <w:tcW w:w="1552" w:type="pct"/>
            <w:hideMark/>
          </w:tcPr>
          <w:p w14:paraId="3F0A06BD" w14:textId="77777777" w:rsidR="0055707A" w:rsidRPr="0055707A" w:rsidRDefault="0055707A" w:rsidP="00793299">
            <w:pPr>
              <w:rPr>
                <w:rFonts w:ascii="Arial" w:eastAsia="Times New Roman" w:hAnsi="Arial" w:cs="Arial"/>
                <w:b/>
                <w:bCs/>
                <w:color w:val="000000"/>
                <w:sz w:val="20"/>
                <w:szCs w:val="20"/>
              </w:rPr>
            </w:pPr>
            <w:r w:rsidRPr="00793299">
              <w:rPr>
                <w:rFonts w:ascii="Arial" w:eastAsia="Times New Roman" w:hAnsi="Arial" w:cs="Arial"/>
                <w:b/>
                <w:bCs/>
                <w:color w:val="000000"/>
                <w:sz w:val="20"/>
                <w:szCs w:val="20"/>
              </w:rPr>
              <w:t>Adverse drug reactions</w:t>
            </w:r>
          </w:p>
        </w:tc>
        <w:tc>
          <w:tcPr>
            <w:tcW w:w="1874" w:type="pct"/>
          </w:tcPr>
          <w:p w14:paraId="7321E8FA" w14:textId="67EE9B9A" w:rsidR="0055707A" w:rsidRPr="0055707A" w:rsidRDefault="0055707A" w:rsidP="00793299">
            <w:pPr>
              <w:rPr>
                <w:rFonts w:ascii="Arial" w:eastAsia="Times New Roman" w:hAnsi="Arial" w:cs="Arial"/>
                <w:b/>
                <w:bCs/>
                <w:color w:val="000000"/>
                <w:sz w:val="20"/>
                <w:szCs w:val="20"/>
              </w:rPr>
            </w:pPr>
            <w:r w:rsidRPr="0055707A">
              <w:rPr>
                <w:rFonts w:ascii="Arial" w:eastAsia="Times New Roman" w:hAnsi="Arial" w:cs="Arial"/>
                <w:b/>
                <w:bCs/>
                <w:color w:val="000000"/>
                <w:sz w:val="20"/>
                <w:szCs w:val="20"/>
              </w:rPr>
              <w:t>Frequency</w:t>
            </w:r>
          </w:p>
        </w:tc>
      </w:tr>
      <w:tr w:rsidR="0055707A" w:rsidRPr="00793299" w14:paraId="1160E5B5" w14:textId="17C97017" w:rsidTr="0055707A">
        <w:trPr>
          <w:trHeight w:val="129"/>
        </w:trPr>
        <w:tc>
          <w:tcPr>
            <w:tcW w:w="1574" w:type="pct"/>
            <w:hideMark/>
          </w:tcPr>
          <w:p w14:paraId="6A0CDDC2" w14:textId="77777777" w:rsidR="0055707A" w:rsidRPr="00793299" w:rsidRDefault="0055707A" w:rsidP="00793299">
            <w:pPr>
              <w:rPr>
                <w:rFonts w:ascii="Arial" w:eastAsia="Times New Roman" w:hAnsi="Arial" w:cs="Arial"/>
                <w:color w:val="000000"/>
                <w:sz w:val="20"/>
                <w:szCs w:val="20"/>
              </w:rPr>
            </w:pPr>
            <w:r w:rsidRPr="00793299">
              <w:rPr>
                <w:rFonts w:ascii="Arial" w:eastAsia="Times New Roman" w:hAnsi="Arial" w:cs="Arial"/>
                <w:color w:val="000000"/>
                <w:sz w:val="20"/>
                <w:szCs w:val="20"/>
              </w:rPr>
              <w:t>Infections and infestations</w:t>
            </w:r>
          </w:p>
        </w:tc>
        <w:tc>
          <w:tcPr>
            <w:tcW w:w="1552" w:type="pct"/>
            <w:hideMark/>
          </w:tcPr>
          <w:p w14:paraId="0AA43E03" w14:textId="77777777" w:rsidR="0055707A" w:rsidRPr="00793299" w:rsidRDefault="0055707A" w:rsidP="00793299">
            <w:pPr>
              <w:rPr>
                <w:rFonts w:ascii="Arial" w:eastAsia="Times New Roman" w:hAnsi="Arial" w:cs="Arial"/>
                <w:color w:val="000000"/>
                <w:sz w:val="20"/>
                <w:szCs w:val="20"/>
              </w:rPr>
            </w:pPr>
            <w:r w:rsidRPr="00793299">
              <w:rPr>
                <w:rFonts w:ascii="Arial" w:eastAsia="Times New Roman" w:hAnsi="Arial" w:cs="Arial"/>
                <w:color w:val="000000"/>
                <w:sz w:val="20"/>
                <w:szCs w:val="20"/>
              </w:rPr>
              <w:t>Vulvovaginitis</w:t>
            </w:r>
          </w:p>
        </w:tc>
        <w:tc>
          <w:tcPr>
            <w:tcW w:w="1874" w:type="pct"/>
          </w:tcPr>
          <w:p w14:paraId="25DDE305" w14:textId="1516DCBE" w:rsidR="0055707A" w:rsidRPr="0055707A" w:rsidRDefault="0055707A" w:rsidP="00793299">
            <w:pPr>
              <w:rPr>
                <w:rFonts w:ascii="Times New Roman" w:eastAsia="Times New Roman" w:hAnsi="Times New Roman" w:cs="Times New Roman"/>
                <w:sz w:val="20"/>
                <w:szCs w:val="20"/>
              </w:rPr>
            </w:pPr>
            <w:r w:rsidRPr="00793299">
              <w:rPr>
                <w:rFonts w:ascii="Arial" w:eastAsia="Times New Roman" w:hAnsi="Arial" w:cs="Arial"/>
                <w:color w:val="000000"/>
                <w:sz w:val="20"/>
                <w:szCs w:val="20"/>
              </w:rPr>
              <w:t>Common</w:t>
            </w:r>
          </w:p>
        </w:tc>
      </w:tr>
      <w:tr w:rsidR="0055707A" w:rsidRPr="00793299" w14:paraId="5C598F4C" w14:textId="77777777" w:rsidTr="0055707A">
        <w:trPr>
          <w:trHeight w:val="550"/>
        </w:trPr>
        <w:tc>
          <w:tcPr>
            <w:tcW w:w="1574" w:type="pct"/>
          </w:tcPr>
          <w:p w14:paraId="4FC96168" w14:textId="7FD25AFD" w:rsidR="0055707A" w:rsidRPr="00793299" w:rsidRDefault="0055707A" w:rsidP="00793299">
            <w:pPr>
              <w:rPr>
                <w:rFonts w:ascii="Arial" w:eastAsia="Times New Roman" w:hAnsi="Arial" w:cs="Arial"/>
                <w:color w:val="000000"/>
                <w:sz w:val="20"/>
                <w:szCs w:val="20"/>
              </w:rPr>
            </w:pPr>
            <w:r w:rsidRPr="00793299">
              <w:rPr>
                <w:rFonts w:ascii="Arial" w:eastAsia="Times New Roman" w:hAnsi="Arial" w:cs="Arial"/>
                <w:color w:val="000000"/>
                <w:sz w:val="20"/>
                <w:szCs w:val="20"/>
              </w:rPr>
              <w:t>Immune system disorders</w:t>
            </w:r>
          </w:p>
        </w:tc>
        <w:tc>
          <w:tcPr>
            <w:tcW w:w="1552" w:type="pct"/>
          </w:tcPr>
          <w:p w14:paraId="7BAAA81F" w14:textId="20C2A2EF" w:rsidR="0055707A" w:rsidRPr="00793299" w:rsidRDefault="0055707A" w:rsidP="00793299">
            <w:pPr>
              <w:rPr>
                <w:rFonts w:ascii="Arial" w:eastAsia="Times New Roman" w:hAnsi="Arial" w:cs="Arial"/>
                <w:color w:val="000000"/>
                <w:sz w:val="20"/>
                <w:szCs w:val="20"/>
              </w:rPr>
            </w:pPr>
            <w:r w:rsidRPr="00793299">
              <w:rPr>
                <w:rFonts w:ascii="Arial" w:eastAsia="Times New Roman" w:hAnsi="Arial" w:cs="Arial"/>
                <w:color w:val="000000"/>
                <w:sz w:val="20"/>
                <w:szCs w:val="20"/>
              </w:rPr>
              <w:t>Anaphylactic reactions including anaphylactic shock, hypersensitivity (see section 4.4)</w:t>
            </w:r>
          </w:p>
        </w:tc>
        <w:tc>
          <w:tcPr>
            <w:tcW w:w="1874" w:type="pct"/>
          </w:tcPr>
          <w:p w14:paraId="0C8EC649" w14:textId="694C729D" w:rsidR="0055707A" w:rsidRPr="0055707A" w:rsidRDefault="0055707A" w:rsidP="00793299">
            <w:pPr>
              <w:rPr>
                <w:rFonts w:ascii="Arial" w:eastAsia="Times New Roman" w:hAnsi="Arial" w:cs="Arial"/>
                <w:color w:val="000000"/>
                <w:sz w:val="20"/>
                <w:szCs w:val="20"/>
              </w:rPr>
            </w:pPr>
            <w:r w:rsidRPr="00793299">
              <w:rPr>
                <w:rFonts w:ascii="Arial" w:eastAsia="Times New Roman" w:hAnsi="Arial" w:cs="Arial"/>
                <w:color w:val="000000"/>
                <w:sz w:val="20"/>
                <w:szCs w:val="20"/>
              </w:rPr>
              <w:t>Not known</w:t>
            </w:r>
          </w:p>
        </w:tc>
      </w:tr>
      <w:tr w:rsidR="0055707A" w:rsidRPr="00793299" w14:paraId="271AA9B5" w14:textId="0C6C1517" w:rsidTr="0055707A">
        <w:trPr>
          <w:trHeight w:val="119"/>
        </w:trPr>
        <w:tc>
          <w:tcPr>
            <w:tcW w:w="1574" w:type="pct"/>
            <w:hideMark/>
          </w:tcPr>
          <w:p w14:paraId="5E0E8643" w14:textId="77777777" w:rsidR="0055707A" w:rsidRPr="00793299" w:rsidRDefault="0055707A" w:rsidP="00793299">
            <w:pPr>
              <w:rPr>
                <w:rFonts w:ascii="Arial" w:eastAsia="Times New Roman" w:hAnsi="Arial" w:cs="Arial"/>
                <w:color w:val="000000"/>
                <w:sz w:val="20"/>
                <w:szCs w:val="20"/>
              </w:rPr>
            </w:pPr>
            <w:r w:rsidRPr="00793299">
              <w:rPr>
                <w:rFonts w:ascii="Arial" w:eastAsia="Times New Roman" w:hAnsi="Arial" w:cs="Arial"/>
                <w:color w:val="000000"/>
                <w:sz w:val="20"/>
                <w:szCs w:val="20"/>
              </w:rPr>
              <w:t>Nervous system disorders</w:t>
            </w:r>
          </w:p>
        </w:tc>
        <w:tc>
          <w:tcPr>
            <w:tcW w:w="1552" w:type="pct"/>
            <w:hideMark/>
          </w:tcPr>
          <w:p w14:paraId="6E41B0F9" w14:textId="77777777" w:rsidR="0055707A" w:rsidRPr="00793299" w:rsidRDefault="0055707A" w:rsidP="00793299">
            <w:pPr>
              <w:rPr>
                <w:rFonts w:ascii="Arial" w:eastAsia="Times New Roman" w:hAnsi="Arial" w:cs="Arial"/>
                <w:color w:val="000000"/>
                <w:sz w:val="20"/>
                <w:szCs w:val="20"/>
              </w:rPr>
            </w:pPr>
            <w:r w:rsidRPr="00793299">
              <w:rPr>
                <w:rFonts w:ascii="Arial" w:eastAsia="Times New Roman" w:hAnsi="Arial" w:cs="Arial"/>
                <w:color w:val="000000"/>
                <w:sz w:val="20"/>
                <w:szCs w:val="20"/>
              </w:rPr>
              <w:t>Headache, dizziness</w:t>
            </w:r>
          </w:p>
        </w:tc>
        <w:tc>
          <w:tcPr>
            <w:tcW w:w="1874" w:type="pct"/>
          </w:tcPr>
          <w:p w14:paraId="2971C795" w14:textId="5C880C40" w:rsidR="0055707A" w:rsidRPr="0055707A" w:rsidRDefault="008C1A0C" w:rsidP="00793299">
            <w:pPr>
              <w:rPr>
                <w:rFonts w:ascii="Times New Roman" w:eastAsia="Times New Roman" w:hAnsi="Times New Roman" w:cs="Times New Roman"/>
                <w:sz w:val="20"/>
                <w:szCs w:val="20"/>
              </w:rPr>
            </w:pPr>
            <w:r w:rsidRPr="00793299">
              <w:rPr>
                <w:rFonts w:ascii="Arial" w:eastAsia="Times New Roman" w:hAnsi="Arial" w:cs="Arial"/>
                <w:color w:val="000000"/>
                <w:sz w:val="20"/>
                <w:szCs w:val="20"/>
              </w:rPr>
              <w:t>Common</w:t>
            </w:r>
          </w:p>
        </w:tc>
      </w:tr>
      <w:tr w:rsidR="0055707A" w:rsidRPr="00793299" w14:paraId="14D6326B" w14:textId="0746A7CB" w:rsidTr="0055707A">
        <w:trPr>
          <w:trHeight w:val="410"/>
        </w:trPr>
        <w:tc>
          <w:tcPr>
            <w:tcW w:w="1574" w:type="pct"/>
            <w:hideMark/>
          </w:tcPr>
          <w:p w14:paraId="44ED56CD" w14:textId="77777777" w:rsidR="0055707A" w:rsidRPr="00793299" w:rsidRDefault="0055707A" w:rsidP="00793299">
            <w:pPr>
              <w:rPr>
                <w:rFonts w:ascii="Arial" w:eastAsia="Times New Roman" w:hAnsi="Arial" w:cs="Arial"/>
                <w:color w:val="000000"/>
                <w:sz w:val="20"/>
                <w:szCs w:val="20"/>
              </w:rPr>
            </w:pPr>
            <w:r w:rsidRPr="00793299">
              <w:rPr>
                <w:rFonts w:ascii="Arial" w:eastAsia="Times New Roman" w:hAnsi="Arial" w:cs="Arial"/>
                <w:color w:val="000000"/>
                <w:sz w:val="20"/>
                <w:szCs w:val="20"/>
              </w:rPr>
              <w:t>Gastrointestinal disorders</w:t>
            </w:r>
          </w:p>
        </w:tc>
        <w:tc>
          <w:tcPr>
            <w:tcW w:w="1552" w:type="pct"/>
            <w:hideMark/>
          </w:tcPr>
          <w:p w14:paraId="6027CC57" w14:textId="77777777" w:rsidR="0055707A" w:rsidRPr="00793299" w:rsidRDefault="0055707A" w:rsidP="00793299">
            <w:pPr>
              <w:rPr>
                <w:rFonts w:ascii="Arial" w:eastAsia="Times New Roman" w:hAnsi="Arial" w:cs="Arial"/>
                <w:color w:val="000000"/>
                <w:sz w:val="20"/>
                <w:szCs w:val="20"/>
              </w:rPr>
            </w:pPr>
            <w:r w:rsidRPr="00793299">
              <w:rPr>
                <w:rFonts w:ascii="Arial" w:eastAsia="Times New Roman" w:hAnsi="Arial" w:cs="Arial"/>
                <w:color w:val="000000"/>
                <w:sz w:val="20"/>
                <w:szCs w:val="20"/>
              </w:rPr>
              <w:t>Diarrhoea, nausea, dyspepsia, abdominal pain</w:t>
            </w:r>
          </w:p>
        </w:tc>
        <w:tc>
          <w:tcPr>
            <w:tcW w:w="1874" w:type="pct"/>
          </w:tcPr>
          <w:p w14:paraId="3C9FBF48" w14:textId="05CBF54E" w:rsidR="0055707A" w:rsidRPr="0055707A" w:rsidRDefault="0055707A" w:rsidP="00793299">
            <w:pPr>
              <w:rPr>
                <w:rFonts w:ascii="Arial" w:eastAsia="Times New Roman" w:hAnsi="Arial" w:cs="Arial"/>
                <w:color w:val="000000"/>
                <w:sz w:val="20"/>
                <w:szCs w:val="20"/>
              </w:rPr>
            </w:pPr>
            <w:r w:rsidRPr="00793299">
              <w:rPr>
                <w:rFonts w:ascii="Arial" w:eastAsia="Times New Roman" w:hAnsi="Arial" w:cs="Arial"/>
                <w:color w:val="000000"/>
                <w:sz w:val="20"/>
                <w:szCs w:val="20"/>
              </w:rPr>
              <w:t>Common</w:t>
            </w:r>
          </w:p>
        </w:tc>
      </w:tr>
      <w:tr w:rsidR="0055707A" w:rsidRPr="00793299" w14:paraId="0C68AC67" w14:textId="77777777" w:rsidTr="0055707A">
        <w:trPr>
          <w:trHeight w:val="410"/>
        </w:trPr>
        <w:tc>
          <w:tcPr>
            <w:tcW w:w="1574" w:type="pct"/>
          </w:tcPr>
          <w:p w14:paraId="32880277" w14:textId="1FD53AED" w:rsidR="0055707A" w:rsidRPr="00793299" w:rsidRDefault="0055707A" w:rsidP="0055707A">
            <w:pPr>
              <w:rPr>
                <w:rFonts w:ascii="Arial" w:eastAsia="Times New Roman" w:hAnsi="Arial" w:cs="Arial"/>
                <w:color w:val="000000"/>
                <w:sz w:val="20"/>
                <w:szCs w:val="20"/>
              </w:rPr>
            </w:pPr>
            <w:r w:rsidRPr="00793299">
              <w:rPr>
                <w:rFonts w:ascii="Arial" w:eastAsia="Times New Roman" w:hAnsi="Arial" w:cs="Arial"/>
                <w:color w:val="000000"/>
                <w:sz w:val="20"/>
                <w:szCs w:val="20"/>
              </w:rPr>
              <w:t>Gastrointestinal disorders</w:t>
            </w:r>
          </w:p>
        </w:tc>
        <w:tc>
          <w:tcPr>
            <w:tcW w:w="1552" w:type="pct"/>
          </w:tcPr>
          <w:p w14:paraId="26D34E79" w14:textId="72123202" w:rsidR="0055707A" w:rsidRPr="00793299" w:rsidRDefault="0055707A" w:rsidP="0055707A">
            <w:pPr>
              <w:rPr>
                <w:rFonts w:ascii="Arial" w:eastAsia="Times New Roman" w:hAnsi="Arial" w:cs="Arial"/>
                <w:color w:val="000000"/>
                <w:sz w:val="20"/>
                <w:szCs w:val="20"/>
              </w:rPr>
            </w:pPr>
            <w:r w:rsidRPr="00793299">
              <w:rPr>
                <w:rFonts w:ascii="Arial" w:eastAsia="Times New Roman" w:hAnsi="Arial" w:cs="Arial"/>
                <w:color w:val="000000"/>
                <w:sz w:val="20"/>
                <w:szCs w:val="20"/>
              </w:rPr>
              <w:t>Vomiting</w:t>
            </w:r>
          </w:p>
        </w:tc>
        <w:tc>
          <w:tcPr>
            <w:tcW w:w="1874" w:type="pct"/>
          </w:tcPr>
          <w:p w14:paraId="216720F9" w14:textId="066BFB83" w:rsidR="0055707A" w:rsidRPr="0055707A" w:rsidRDefault="0055707A" w:rsidP="0055707A">
            <w:pPr>
              <w:rPr>
                <w:rFonts w:ascii="Arial" w:eastAsia="Times New Roman" w:hAnsi="Arial" w:cs="Arial"/>
                <w:color w:val="000000"/>
                <w:sz w:val="20"/>
                <w:szCs w:val="20"/>
              </w:rPr>
            </w:pPr>
            <w:r w:rsidRPr="00793299">
              <w:rPr>
                <w:rFonts w:ascii="Arial" w:eastAsia="Times New Roman" w:hAnsi="Arial" w:cs="Arial"/>
                <w:color w:val="000000"/>
                <w:sz w:val="20"/>
                <w:szCs w:val="20"/>
              </w:rPr>
              <w:t>Uncommon</w:t>
            </w:r>
          </w:p>
        </w:tc>
      </w:tr>
      <w:tr w:rsidR="0055707A" w:rsidRPr="00793299" w14:paraId="2BC8ED39" w14:textId="77777777" w:rsidTr="0055707A">
        <w:trPr>
          <w:trHeight w:val="410"/>
        </w:trPr>
        <w:tc>
          <w:tcPr>
            <w:tcW w:w="1574" w:type="pct"/>
          </w:tcPr>
          <w:p w14:paraId="23C04079" w14:textId="52425EB4" w:rsidR="0055707A" w:rsidRPr="00793299" w:rsidRDefault="0055707A" w:rsidP="0055707A">
            <w:pPr>
              <w:rPr>
                <w:rFonts w:ascii="Arial" w:eastAsia="Times New Roman" w:hAnsi="Arial" w:cs="Arial"/>
                <w:color w:val="000000"/>
                <w:sz w:val="20"/>
                <w:szCs w:val="20"/>
              </w:rPr>
            </w:pPr>
            <w:r w:rsidRPr="00793299">
              <w:rPr>
                <w:rFonts w:ascii="Arial" w:eastAsia="Times New Roman" w:hAnsi="Arial" w:cs="Arial"/>
                <w:color w:val="000000"/>
                <w:sz w:val="20"/>
                <w:szCs w:val="20"/>
              </w:rPr>
              <w:t>Gastrointestinal disorders</w:t>
            </w:r>
          </w:p>
        </w:tc>
        <w:tc>
          <w:tcPr>
            <w:tcW w:w="1552" w:type="pct"/>
          </w:tcPr>
          <w:p w14:paraId="217616A2" w14:textId="76981A13" w:rsidR="0055707A" w:rsidRPr="00793299" w:rsidRDefault="0055707A" w:rsidP="0055707A">
            <w:pPr>
              <w:rPr>
                <w:rFonts w:ascii="Arial" w:eastAsia="Times New Roman" w:hAnsi="Arial" w:cs="Arial"/>
                <w:color w:val="000000"/>
                <w:sz w:val="20"/>
                <w:szCs w:val="20"/>
              </w:rPr>
            </w:pPr>
            <w:r w:rsidRPr="00793299">
              <w:rPr>
                <w:rFonts w:ascii="Arial" w:eastAsia="Times New Roman" w:hAnsi="Arial" w:cs="Arial"/>
                <w:color w:val="000000"/>
                <w:sz w:val="20"/>
                <w:szCs w:val="20"/>
              </w:rPr>
              <w:t>Antibiotic- associated colitis (see section 4.4)</w:t>
            </w:r>
          </w:p>
        </w:tc>
        <w:tc>
          <w:tcPr>
            <w:tcW w:w="1874" w:type="pct"/>
          </w:tcPr>
          <w:p w14:paraId="517C6203" w14:textId="15686202" w:rsidR="0055707A" w:rsidRPr="0055707A" w:rsidRDefault="0055707A" w:rsidP="0055707A">
            <w:pPr>
              <w:rPr>
                <w:rFonts w:ascii="Arial" w:eastAsia="Times New Roman" w:hAnsi="Arial" w:cs="Arial"/>
                <w:color w:val="000000"/>
                <w:sz w:val="20"/>
                <w:szCs w:val="20"/>
              </w:rPr>
            </w:pPr>
            <w:r w:rsidRPr="00793299">
              <w:rPr>
                <w:rFonts w:ascii="Arial" w:eastAsia="Times New Roman" w:hAnsi="Arial" w:cs="Arial"/>
                <w:color w:val="000000"/>
                <w:sz w:val="20"/>
                <w:szCs w:val="20"/>
              </w:rPr>
              <w:t>Not known</w:t>
            </w:r>
          </w:p>
        </w:tc>
      </w:tr>
      <w:tr w:rsidR="0055707A" w:rsidRPr="00793299" w14:paraId="4A50155A" w14:textId="77777777" w:rsidTr="0055707A">
        <w:trPr>
          <w:trHeight w:val="259"/>
        </w:trPr>
        <w:tc>
          <w:tcPr>
            <w:tcW w:w="1574" w:type="pct"/>
          </w:tcPr>
          <w:p w14:paraId="66388169" w14:textId="61F95794" w:rsidR="0055707A" w:rsidRPr="00793299" w:rsidRDefault="0055707A" w:rsidP="0055707A">
            <w:pPr>
              <w:rPr>
                <w:rFonts w:ascii="Arial" w:eastAsia="Times New Roman" w:hAnsi="Arial" w:cs="Arial"/>
                <w:color w:val="000000"/>
                <w:sz w:val="20"/>
                <w:szCs w:val="20"/>
              </w:rPr>
            </w:pPr>
            <w:r w:rsidRPr="00793299">
              <w:rPr>
                <w:rFonts w:ascii="Arial" w:eastAsia="Times New Roman" w:hAnsi="Arial" w:cs="Arial"/>
                <w:color w:val="000000"/>
                <w:sz w:val="20"/>
                <w:szCs w:val="20"/>
              </w:rPr>
              <w:t>Skin and subcutaneous tissue disorders</w:t>
            </w:r>
          </w:p>
        </w:tc>
        <w:tc>
          <w:tcPr>
            <w:tcW w:w="1552" w:type="pct"/>
          </w:tcPr>
          <w:p w14:paraId="20C97575" w14:textId="6EC9DE56" w:rsidR="0055707A" w:rsidRPr="00793299" w:rsidRDefault="0055707A" w:rsidP="0055707A">
            <w:pPr>
              <w:rPr>
                <w:rFonts w:ascii="Arial" w:eastAsia="Times New Roman" w:hAnsi="Arial" w:cs="Arial"/>
                <w:color w:val="000000"/>
                <w:sz w:val="20"/>
                <w:szCs w:val="20"/>
              </w:rPr>
            </w:pPr>
            <w:r w:rsidRPr="00793299">
              <w:rPr>
                <w:rFonts w:ascii="Arial" w:eastAsia="Times New Roman" w:hAnsi="Arial" w:cs="Arial"/>
                <w:color w:val="000000"/>
                <w:sz w:val="20"/>
                <w:szCs w:val="20"/>
              </w:rPr>
              <w:t>Rash, urticaria, pruritus</w:t>
            </w:r>
          </w:p>
        </w:tc>
        <w:tc>
          <w:tcPr>
            <w:tcW w:w="1874" w:type="pct"/>
          </w:tcPr>
          <w:p w14:paraId="5E7BB15D" w14:textId="3A65BA90" w:rsidR="0055707A" w:rsidRPr="0055707A" w:rsidRDefault="0055707A" w:rsidP="0055707A">
            <w:pPr>
              <w:rPr>
                <w:rFonts w:ascii="Arial" w:eastAsia="Times New Roman" w:hAnsi="Arial" w:cs="Arial"/>
                <w:color w:val="000000"/>
                <w:sz w:val="20"/>
                <w:szCs w:val="20"/>
              </w:rPr>
            </w:pPr>
            <w:r w:rsidRPr="00793299">
              <w:rPr>
                <w:rFonts w:ascii="Arial" w:eastAsia="Times New Roman" w:hAnsi="Arial" w:cs="Arial"/>
                <w:color w:val="000000"/>
                <w:sz w:val="20"/>
                <w:szCs w:val="20"/>
              </w:rPr>
              <w:t>Uncommon</w:t>
            </w:r>
          </w:p>
        </w:tc>
      </w:tr>
      <w:tr w:rsidR="0055707A" w:rsidRPr="00793299" w14:paraId="0C4BCC33" w14:textId="77777777" w:rsidTr="0055707A">
        <w:trPr>
          <w:trHeight w:val="259"/>
        </w:trPr>
        <w:tc>
          <w:tcPr>
            <w:tcW w:w="1574" w:type="pct"/>
          </w:tcPr>
          <w:p w14:paraId="0FEBABF5" w14:textId="35A1C393" w:rsidR="0055707A" w:rsidRPr="00793299" w:rsidRDefault="0055707A" w:rsidP="0055707A">
            <w:pPr>
              <w:rPr>
                <w:rFonts w:ascii="Arial" w:eastAsia="Times New Roman" w:hAnsi="Arial" w:cs="Arial"/>
                <w:color w:val="000000"/>
                <w:sz w:val="20"/>
                <w:szCs w:val="20"/>
              </w:rPr>
            </w:pPr>
            <w:r w:rsidRPr="00793299">
              <w:rPr>
                <w:rFonts w:ascii="Arial" w:eastAsia="Times New Roman" w:hAnsi="Arial" w:cs="Arial"/>
                <w:color w:val="000000"/>
                <w:sz w:val="20"/>
                <w:szCs w:val="20"/>
              </w:rPr>
              <w:t>Skin and subcutaneous tissue disorders</w:t>
            </w:r>
          </w:p>
        </w:tc>
        <w:tc>
          <w:tcPr>
            <w:tcW w:w="1552" w:type="pct"/>
          </w:tcPr>
          <w:p w14:paraId="5F30873B" w14:textId="466F1916" w:rsidR="0055707A" w:rsidRPr="00793299" w:rsidRDefault="0055707A" w:rsidP="0055707A">
            <w:pPr>
              <w:rPr>
                <w:rFonts w:ascii="Arial" w:eastAsia="Times New Roman" w:hAnsi="Arial" w:cs="Arial"/>
                <w:color w:val="000000"/>
                <w:sz w:val="20"/>
                <w:szCs w:val="20"/>
              </w:rPr>
            </w:pPr>
            <w:r w:rsidRPr="00793299">
              <w:rPr>
                <w:rFonts w:ascii="Arial" w:eastAsia="Times New Roman" w:hAnsi="Arial" w:cs="Arial"/>
                <w:color w:val="000000"/>
                <w:sz w:val="20"/>
                <w:szCs w:val="20"/>
              </w:rPr>
              <w:t>Angioedema</w:t>
            </w:r>
          </w:p>
        </w:tc>
        <w:tc>
          <w:tcPr>
            <w:tcW w:w="1874" w:type="pct"/>
          </w:tcPr>
          <w:p w14:paraId="4EF79CEB" w14:textId="3C5BB5E5" w:rsidR="0055707A" w:rsidRPr="0055707A" w:rsidRDefault="0055707A" w:rsidP="0055707A">
            <w:pPr>
              <w:rPr>
                <w:rFonts w:ascii="Arial" w:eastAsia="Times New Roman" w:hAnsi="Arial" w:cs="Arial"/>
                <w:color w:val="000000"/>
                <w:sz w:val="20"/>
                <w:szCs w:val="20"/>
              </w:rPr>
            </w:pPr>
            <w:r w:rsidRPr="00793299">
              <w:rPr>
                <w:rFonts w:ascii="Arial" w:eastAsia="Times New Roman" w:hAnsi="Arial" w:cs="Arial"/>
                <w:color w:val="000000"/>
                <w:sz w:val="20"/>
                <w:szCs w:val="20"/>
              </w:rPr>
              <w:t>Not known</w:t>
            </w:r>
          </w:p>
        </w:tc>
      </w:tr>
    </w:tbl>
    <w:p w14:paraId="393ABAE3" w14:textId="77777777" w:rsidR="00D54421" w:rsidRDefault="00D54421" w:rsidP="00D54421"/>
    <w:p w14:paraId="4247AF80" w14:textId="47664390" w:rsidR="002F7AD9" w:rsidRDefault="002F7AD9" w:rsidP="002F7AD9">
      <w:pPr>
        <w:pStyle w:val="Heading1"/>
      </w:pPr>
      <w:r>
        <w:t>Binary</w:t>
      </w:r>
    </w:p>
    <w:p w14:paraId="52EEB30F" w14:textId="7A26EB38" w:rsidR="00D54421" w:rsidRDefault="00360924" w:rsidP="00D54421">
      <w:r>
        <w:t>n/a – no images of the granules. Only images of the packaging</w:t>
      </w:r>
    </w:p>
    <w:p w14:paraId="2007D0B1" w14:textId="6DA7A195" w:rsidR="002F7AD9" w:rsidRDefault="00957E54" w:rsidP="00957E54">
      <w:pPr>
        <w:pStyle w:val="Heading1"/>
      </w:pPr>
      <w:r>
        <w:t>Document Reference</w:t>
      </w:r>
    </w:p>
    <w:p w14:paraId="43D600EF" w14:textId="4748923C" w:rsidR="00762E37" w:rsidRDefault="00360924"/>
    <w:p w14:paraId="461ED739" w14:textId="77777777" w:rsidR="00D54421" w:rsidRDefault="00D54421"/>
    <w:sectPr w:rsidR="00D544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erson, Craig" w:date="2021-12-20T11:39:00Z" w:initials="AC">
    <w:p w14:paraId="0B063D52" w14:textId="54022C60" w:rsidR="00814D84" w:rsidRDefault="00814D84">
      <w:pPr>
        <w:pStyle w:val="CommentText"/>
      </w:pPr>
      <w:r>
        <w:rPr>
          <w:rStyle w:val="CommentReference"/>
        </w:rPr>
        <w:annotationRef/>
      </w:r>
      <w:r>
        <w:t>Made up these pack ID numbers in the absence of real ones.</w:t>
      </w:r>
    </w:p>
  </w:comment>
  <w:comment w:id="1" w:author="Anderson, Craig" w:date="2021-12-20T11:48:00Z" w:initials="AC">
    <w:p w14:paraId="01A3A3FA" w14:textId="4C5E1B14" w:rsidR="00FC31BE" w:rsidRDefault="00FC31BE">
      <w:pPr>
        <w:pStyle w:val="CommentText"/>
      </w:pPr>
      <w:r>
        <w:rPr>
          <w:rStyle w:val="CommentReference"/>
        </w:rPr>
        <w:annotationRef/>
      </w:r>
      <w:r w:rsidR="00E808D7">
        <w:t>No exact match so used this as a close guess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063D52" w15:done="0"/>
  <w15:commentEx w15:paraId="01A3A3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AEA00" w16cex:dateUtc="2021-12-20T16:39:00Z"/>
  <w16cex:commentExtensible w16cex:durableId="256AEC1A" w16cex:dateUtc="2021-12-20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063D52" w16cid:durableId="256AEA00"/>
  <w16cid:commentId w16cid:paraId="01A3A3FA" w16cid:durableId="256AEC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044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2B62731"/>
    <w:multiLevelType w:val="hybridMultilevel"/>
    <w:tmpl w:val="65D87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on, Craig">
    <w15:presenceInfo w15:providerId="AD" w15:userId="S::ANDERC67@pfizer.com::1f47b648-8ab5-498e-af09-f93852538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D9"/>
    <w:rsid w:val="00053D3A"/>
    <w:rsid w:val="0009028E"/>
    <w:rsid w:val="000B2DB8"/>
    <w:rsid w:val="00115B4A"/>
    <w:rsid w:val="00117CCA"/>
    <w:rsid w:val="0013776F"/>
    <w:rsid w:val="00146BBC"/>
    <w:rsid w:val="001620A8"/>
    <w:rsid w:val="00165190"/>
    <w:rsid w:val="00170B74"/>
    <w:rsid w:val="00187785"/>
    <w:rsid w:val="001A4055"/>
    <w:rsid w:val="001B32F6"/>
    <w:rsid w:val="001B5C82"/>
    <w:rsid w:val="002974F0"/>
    <w:rsid w:val="002B453A"/>
    <w:rsid w:val="002C6DE5"/>
    <w:rsid w:val="002F7AD9"/>
    <w:rsid w:val="00360924"/>
    <w:rsid w:val="003E3908"/>
    <w:rsid w:val="004C0A40"/>
    <w:rsid w:val="004C544A"/>
    <w:rsid w:val="00521B8B"/>
    <w:rsid w:val="00530FF2"/>
    <w:rsid w:val="0054529A"/>
    <w:rsid w:val="0055707A"/>
    <w:rsid w:val="00562AEB"/>
    <w:rsid w:val="00591FB8"/>
    <w:rsid w:val="005B3C02"/>
    <w:rsid w:val="005C3981"/>
    <w:rsid w:val="005C3FEF"/>
    <w:rsid w:val="005F246D"/>
    <w:rsid w:val="006370E2"/>
    <w:rsid w:val="00662610"/>
    <w:rsid w:val="00665728"/>
    <w:rsid w:val="00697569"/>
    <w:rsid w:val="006C12F7"/>
    <w:rsid w:val="00744749"/>
    <w:rsid w:val="00793299"/>
    <w:rsid w:val="007932E3"/>
    <w:rsid w:val="007B031E"/>
    <w:rsid w:val="00804213"/>
    <w:rsid w:val="008134E5"/>
    <w:rsid w:val="00814D84"/>
    <w:rsid w:val="008203B9"/>
    <w:rsid w:val="00832D21"/>
    <w:rsid w:val="008B390E"/>
    <w:rsid w:val="008C1A0C"/>
    <w:rsid w:val="008E0722"/>
    <w:rsid w:val="00904DF1"/>
    <w:rsid w:val="00916850"/>
    <w:rsid w:val="0093465E"/>
    <w:rsid w:val="00944857"/>
    <w:rsid w:val="00957E54"/>
    <w:rsid w:val="009B24CB"/>
    <w:rsid w:val="009B4B70"/>
    <w:rsid w:val="009E248B"/>
    <w:rsid w:val="00A30952"/>
    <w:rsid w:val="00B95B7D"/>
    <w:rsid w:val="00C50E56"/>
    <w:rsid w:val="00C5567D"/>
    <w:rsid w:val="00CD0DA9"/>
    <w:rsid w:val="00D47F1A"/>
    <w:rsid w:val="00D52A29"/>
    <w:rsid w:val="00D54421"/>
    <w:rsid w:val="00D6621A"/>
    <w:rsid w:val="00D74AAD"/>
    <w:rsid w:val="00DB26E8"/>
    <w:rsid w:val="00DF3FE2"/>
    <w:rsid w:val="00E12940"/>
    <w:rsid w:val="00E13FF6"/>
    <w:rsid w:val="00E22BFF"/>
    <w:rsid w:val="00E26C66"/>
    <w:rsid w:val="00E808D7"/>
    <w:rsid w:val="00F07AC0"/>
    <w:rsid w:val="00F25690"/>
    <w:rsid w:val="00F45BF0"/>
    <w:rsid w:val="00F800DE"/>
    <w:rsid w:val="00FC31BE"/>
    <w:rsid w:val="00FE3CEF"/>
    <w:rsid w:val="00FF4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A8D8"/>
  <w15:chartTrackingRefBased/>
  <w15:docId w15:val="{E6B572C2-E2D8-4898-A02C-A5317433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AD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7AD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AD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7A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7A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7A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7A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7A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7A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F7A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7AD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F7A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7A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F7A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7A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7A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7AD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1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E07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8E0722"/>
    <w:rPr>
      <w:color w:val="0000FF"/>
      <w:u w:val="single"/>
    </w:rPr>
  </w:style>
  <w:style w:type="character" w:styleId="UnresolvedMention">
    <w:name w:val="Unresolved Mention"/>
    <w:basedOn w:val="DefaultParagraphFont"/>
    <w:uiPriority w:val="99"/>
    <w:semiHidden/>
    <w:unhideWhenUsed/>
    <w:rsid w:val="00E26C66"/>
    <w:rPr>
      <w:color w:val="605E5C"/>
      <w:shd w:val="clear" w:color="auto" w:fill="E1DFDD"/>
    </w:rPr>
  </w:style>
  <w:style w:type="character" w:styleId="FollowedHyperlink">
    <w:name w:val="FollowedHyperlink"/>
    <w:basedOn w:val="DefaultParagraphFont"/>
    <w:uiPriority w:val="99"/>
    <w:semiHidden/>
    <w:unhideWhenUsed/>
    <w:rsid w:val="00D54421"/>
    <w:rPr>
      <w:color w:val="954F72" w:themeColor="followedHyperlink"/>
      <w:u w:val="single"/>
    </w:rPr>
  </w:style>
  <w:style w:type="paragraph" w:styleId="ListParagraph">
    <w:name w:val="List Paragraph"/>
    <w:basedOn w:val="Normal"/>
    <w:uiPriority w:val="34"/>
    <w:qFormat/>
    <w:rsid w:val="00FF4FFF"/>
    <w:pPr>
      <w:ind w:left="720"/>
      <w:contextualSpacing/>
    </w:pPr>
  </w:style>
  <w:style w:type="character" w:styleId="CommentReference">
    <w:name w:val="annotation reference"/>
    <w:basedOn w:val="DefaultParagraphFont"/>
    <w:uiPriority w:val="99"/>
    <w:semiHidden/>
    <w:unhideWhenUsed/>
    <w:rsid w:val="00B95B7D"/>
    <w:rPr>
      <w:sz w:val="16"/>
      <w:szCs w:val="16"/>
    </w:rPr>
  </w:style>
  <w:style w:type="paragraph" w:styleId="CommentText">
    <w:name w:val="annotation text"/>
    <w:basedOn w:val="Normal"/>
    <w:link w:val="CommentTextChar"/>
    <w:uiPriority w:val="99"/>
    <w:semiHidden/>
    <w:unhideWhenUsed/>
    <w:rsid w:val="00B95B7D"/>
    <w:pPr>
      <w:spacing w:line="240" w:lineRule="auto"/>
    </w:pPr>
    <w:rPr>
      <w:sz w:val="20"/>
      <w:szCs w:val="20"/>
    </w:rPr>
  </w:style>
  <w:style w:type="character" w:customStyle="1" w:styleId="CommentTextChar">
    <w:name w:val="Comment Text Char"/>
    <w:basedOn w:val="DefaultParagraphFont"/>
    <w:link w:val="CommentText"/>
    <w:uiPriority w:val="99"/>
    <w:semiHidden/>
    <w:rsid w:val="00B95B7D"/>
    <w:rPr>
      <w:sz w:val="20"/>
      <w:szCs w:val="20"/>
    </w:rPr>
  </w:style>
  <w:style w:type="paragraph" w:styleId="CommentSubject">
    <w:name w:val="annotation subject"/>
    <w:basedOn w:val="CommentText"/>
    <w:next w:val="CommentText"/>
    <w:link w:val="CommentSubjectChar"/>
    <w:uiPriority w:val="99"/>
    <w:semiHidden/>
    <w:unhideWhenUsed/>
    <w:rsid w:val="00B95B7D"/>
    <w:rPr>
      <w:b/>
      <w:bCs/>
    </w:rPr>
  </w:style>
  <w:style w:type="character" w:customStyle="1" w:styleId="CommentSubjectChar">
    <w:name w:val="Comment Subject Char"/>
    <w:basedOn w:val="CommentTextChar"/>
    <w:link w:val="CommentSubject"/>
    <w:uiPriority w:val="99"/>
    <w:semiHidden/>
    <w:rsid w:val="00B95B7D"/>
    <w:rPr>
      <w:b/>
      <w:bCs/>
      <w:sz w:val="20"/>
      <w:szCs w:val="20"/>
    </w:rPr>
  </w:style>
  <w:style w:type="character" w:customStyle="1" w:styleId="ui-jqgrid-resize">
    <w:name w:val="ui-jqgrid-resize"/>
    <w:basedOn w:val="DefaultParagraphFont"/>
    <w:rsid w:val="0093465E"/>
  </w:style>
  <w:style w:type="paragraph" w:styleId="NormalWeb">
    <w:name w:val="Normal (Web)"/>
    <w:basedOn w:val="Normal"/>
    <w:uiPriority w:val="99"/>
    <w:semiHidden/>
    <w:unhideWhenUsed/>
    <w:rsid w:val="007932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42845">
      <w:bodyDiv w:val="1"/>
      <w:marLeft w:val="0"/>
      <w:marRight w:val="0"/>
      <w:marTop w:val="0"/>
      <w:marBottom w:val="0"/>
      <w:divBdr>
        <w:top w:val="none" w:sz="0" w:space="0" w:color="auto"/>
        <w:left w:val="none" w:sz="0" w:space="0" w:color="auto"/>
        <w:bottom w:val="none" w:sz="0" w:space="0" w:color="auto"/>
        <w:right w:val="none" w:sz="0" w:space="0" w:color="auto"/>
      </w:divBdr>
    </w:div>
    <w:div w:id="432625466">
      <w:bodyDiv w:val="1"/>
      <w:marLeft w:val="0"/>
      <w:marRight w:val="0"/>
      <w:marTop w:val="0"/>
      <w:marBottom w:val="0"/>
      <w:divBdr>
        <w:top w:val="none" w:sz="0" w:space="0" w:color="auto"/>
        <w:left w:val="none" w:sz="0" w:space="0" w:color="auto"/>
        <w:bottom w:val="none" w:sz="0" w:space="0" w:color="auto"/>
        <w:right w:val="none" w:sz="0" w:space="0" w:color="auto"/>
      </w:divBdr>
    </w:div>
    <w:div w:id="443690222">
      <w:bodyDiv w:val="1"/>
      <w:marLeft w:val="0"/>
      <w:marRight w:val="0"/>
      <w:marTop w:val="0"/>
      <w:marBottom w:val="0"/>
      <w:divBdr>
        <w:top w:val="none" w:sz="0" w:space="0" w:color="auto"/>
        <w:left w:val="none" w:sz="0" w:space="0" w:color="auto"/>
        <w:bottom w:val="none" w:sz="0" w:space="0" w:color="auto"/>
        <w:right w:val="none" w:sz="0" w:space="0" w:color="auto"/>
      </w:divBdr>
    </w:div>
    <w:div w:id="468549356">
      <w:bodyDiv w:val="1"/>
      <w:marLeft w:val="0"/>
      <w:marRight w:val="0"/>
      <w:marTop w:val="0"/>
      <w:marBottom w:val="0"/>
      <w:divBdr>
        <w:top w:val="none" w:sz="0" w:space="0" w:color="auto"/>
        <w:left w:val="none" w:sz="0" w:space="0" w:color="auto"/>
        <w:bottom w:val="none" w:sz="0" w:space="0" w:color="auto"/>
        <w:right w:val="none" w:sz="0" w:space="0" w:color="auto"/>
      </w:divBdr>
    </w:div>
    <w:div w:id="471488065">
      <w:bodyDiv w:val="1"/>
      <w:marLeft w:val="0"/>
      <w:marRight w:val="0"/>
      <w:marTop w:val="0"/>
      <w:marBottom w:val="0"/>
      <w:divBdr>
        <w:top w:val="none" w:sz="0" w:space="0" w:color="auto"/>
        <w:left w:val="none" w:sz="0" w:space="0" w:color="auto"/>
        <w:bottom w:val="none" w:sz="0" w:space="0" w:color="auto"/>
        <w:right w:val="none" w:sz="0" w:space="0" w:color="auto"/>
      </w:divBdr>
    </w:div>
    <w:div w:id="537740136">
      <w:bodyDiv w:val="1"/>
      <w:marLeft w:val="0"/>
      <w:marRight w:val="0"/>
      <w:marTop w:val="0"/>
      <w:marBottom w:val="0"/>
      <w:divBdr>
        <w:top w:val="none" w:sz="0" w:space="0" w:color="auto"/>
        <w:left w:val="none" w:sz="0" w:space="0" w:color="auto"/>
        <w:bottom w:val="none" w:sz="0" w:space="0" w:color="auto"/>
        <w:right w:val="none" w:sz="0" w:space="0" w:color="auto"/>
      </w:divBdr>
    </w:div>
    <w:div w:id="592590534">
      <w:bodyDiv w:val="1"/>
      <w:marLeft w:val="0"/>
      <w:marRight w:val="0"/>
      <w:marTop w:val="0"/>
      <w:marBottom w:val="0"/>
      <w:divBdr>
        <w:top w:val="none" w:sz="0" w:space="0" w:color="auto"/>
        <w:left w:val="none" w:sz="0" w:space="0" w:color="auto"/>
        <w:bottom w:val="none" w:sz="0" w:space="0" w:color="auto"/>
        <w:right w:val="none" w:sz="0" w:space="0" w:color="auto"/>
      </w:divBdr>
    </w:div>
    <w:div w:id="656764609">
      <w:bodyDiv w:val="1"/>
      <w:marLeft w:val="0"/>
      <w:marRight w:val="0"/>
      <w:marTop w:val="0"/>
      <w:marBottom w:val="0"/>
      <w:divBdr>
        <w:top w:val="none" w:sz="0" w:space="0" w:color="auto"/>
        <w:left w:val="none" w:sz="0" w:space="0" w:color="auto"/>
        <w:bottom w:val="none" w:sz="0" w:space="0" w:color="auto"/>
        <w:right w:val="none" w:sz="0" w:space="0" w:color="auto"/>
      </w:divBdr>
    </w:div>
    <w:div w:id="749810440">
      <w:bodyDiv w:val="1"/>
      <w:marLeft w:val="0"/>
      <w:marRight w:val="0"/>
      <w:marTop w:val="0"/>
      <w:marBottom w:val="0"/>
      <w:divBdr>
        <w:top w:val="none" w:sz="0" w:space="0" w:color="auto"/>
        <w:left w:val="none" w:sz="0" w:space="0" w:color="auto"/>
        <w:bottom w:val="none" w:sz="0" w:space="0" w:color="auto"/>
        <w:right w:val="none" w:sz="0" w:space="0" w:color="auto"/>
      </w:divBdr>
    </w:div>
    <w:div w:id="855194907">
      <w:bodyDiv w:val="1"/>
      <w:marLeft w:val="0"/>
      <w:marRight w:val="0"/>
      <w:marTop w:val="0"/>
      <w:marBottom w:val="0"/>
      <w:divBdr>
        <w:top w:val="none" w:sz="0" w:space="0" w:color="auto"/>
        <w:left w:val="none" w:sz="0" w:space="0" w:color="auto"/>
        <w:bottom w:val="none" w:sz="0" w:space="0" w:color="auto"/>
        <w:right w:val="none" w:sz="0" w:space="0" w:color="auto"/>
      </w:divBdr>
    </w:div>
    <w:div w:id="862014518">
      <w:bodyDiv w:val="1"/>
      <w:marLeft w:val="0"/>
      <w:marRight w:val="0"/>
      <w:marTop w:val="0"/>
      <w:marBottom w:val="0"/>
      <w:divBdr>
        <w:top w:val="none" w:sz="0" w:space="0" w:color="auto"/>
        <w:left w:val="none" w:sz="0" w:space="0" w:color="auto"/>
        <w:bottom w:val="none" w:sz="0" w:space="0" w:color="auto"/>
        <w:right w:val="none" w:sz="0" w:space="0" w:color="auto"/>
      </w:divBdr>
    </w:div>
    <w:div w:id="865292468">
      <w:bodyDiv w:val="1"/>
      <w:marLeft w:val="0"/>
      <w:marRight w:val="0"/>
      <w:marTop w:val="0"/>
      <w:marBottom w:val="0"/>
      <w:divBdr>
        <w:top w:val="none" w:sz="0" w:space="0" w:color="auto"/>
        <w:left w:val="none" w:sz="0" w:space="0" w:color="auto"/>
        <w:bottom w:val="none" w:sz="0" w:space="0" w:color="auto"/>
        <w:right w:val="none" w:sz="0" w:space="0" w:color="auto"/>
      </w:divBdr>
    </w:div>
    <w:div w:id="1003630946">
      <w:bodyDiv w:val="1"/>
      <w:marLeft w:val="0"/>
      <w:marRight w:val="0"/>
      <w:marTop w:val="0"/>
      <w:marBottom w:val="0"/>
      <w:divBdr>
        <w:top w:val="none" w:sz="0" w:space="0" w:color="auto"/>
        <w:left w:val="none" w:sz="0" w:space="0" w:color="auto"/>
        <w:bottom w:val="none" w:sz="0" w:space="0" w:color="auto"/>
        <w:right w:val="none" w:sz="0" w:space="0" w:color="auto"/>
      </w:divBdr>
    </w:div>
    <w:div w:id="1009605421">
      <w:bodyDiv w:val="1"/>
      <w:marLeft w:val="0"/>
      <w:marRight w:val="0"/>
      <w:marTop w:val="0"/>
      <w:marBottom w:val="0"/>
      <w:divBdr>
        <w:top w:val="none" w:sz="0" w:space="0" w:color="auto"/>
        <w:left w:val="none" w:sz="0" w:space="0" w:color="auto"/>
        <w:bottom w:val="none" w:sz="0" w:space="0" w:color="auto"/>
        <w:right w:val="none" w:sz="0" w:space="0" w:color="auto"/>
      </w:divBdr>
    </w:div>
    <w:div w:id="1016738336">
      <w:bodyDiv w:val="1"/>
      <w:marLeft w:val="0"/>
      <w:marRight w:val="0"/>
      <w:marTop w:val="0"/>
      <w:marBottom w:val="0"/>
      <w:divBdr>
        <w:top w:val="none" w:sz="0" w:space="0" w:color="auto"/>
        <w:left w:val="none" w:sz="0" w:space="0" w:color="auto"/>
        <w:bottom w:val="none" w:sz="0" w:space="0" w:color="auto"/>
        <w:right w:val="none" w:sz="0" w:space="0" w:color="auto"/>
      </w:divBdr>
      <w:divsChild>
        <w:div w:id="1984968078">
          <w:marLeft w:val="0"/>
          <w:marRight w:val="0"/>
          <w:marTop w:val="0"/>
          <w:marBottom w:val="0"/>
          <w:divBdr>
            <w:top w:val="none" w:sz="0" w:space="0" w:color="auto"/>
            <w:left w:val="none" w:sz="0" w:space="0" w:color="auto"/>
            <w:bottom w:val="single" w:sz="6" w:space="0" w:color="C5DBEC"/>
            <w:right w:val="none" w:sz="0" w:space="0" w:color="auto"/>
          </w:divBdr>
          <w:divsChild>
            <w:div w:id="996882022">
              <w:marLeft w:val="0"/>
              <w:marRight w:val="0"/>
              <w:marTop w:val="0"/>
              <w:marBottom w:val="0"/>
              <w:divBdr>
                <w:top w:val="none" w:sz="0" w:space="0" w:color="auto"/>
                <w:left w:val="none" w:sz="0" w:space="0" w:color="auto"/>
                <w:bottom w:val="none" w:sz="0" w:space="0" w:color="auto"/>
                <w:right w:val="none" w:sz="0" w:space="0" w:color="auto"/>
              </w:divBdr>
              <w:divsChild>
                <w:div w:id="2051803140">
                  <w:marLeft w:val="0"/>
                  <w:marRight w:val="0"/>
                  <w:marTop w:val="0"/>
                  <w:marBottom w:val="0"/>
                  <w:divBdr>
                    <w:top w:val="none" w:sz="0" w:space="0" w:color="auto"/>
                    <w:left w:val="none" w:sz="0" w:space="0" w:color="auto"/>
                    <w:bottom w:val="none" w:sz="0" w:space="0" w:color="auto"/>
                    <w:right w:val="none" w:sz="0" w:space="0" w:color="auto"/>
                  </w:divBdr>
                </w:div>
                <w:div w:id="96338958">
                  <w:marLeft w:val="0"/>
                  <w:marRight w:val="0"/>
                  <w:marTop w:val="0"/>
                  <w:marBottom w:val="0"/>
                  <w:divBdr>
                    <w:top w:val="none" w:sz="0" w:space="0" w:color="auto"/>
                    <w:left w:val="none" w:sz="0" w:space="0" w:color="auto"/>
                    <w:bottom w:val="none" w:sz="0" w:space="0" w:color="auto"/>
                    <w:right w:val="none" w:sz="0" w:space="0" w:color="auto"/>
                  </w:divBdr>
                </w:div>
                <w:div w:id="2510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33701">
      <w:bodyDiv w:val="1"/>
      <w:marLeft w:val="0"/>
      <w:marRight w:val="0"/>
      <w:marTop w:val="0"/>
      <w:marBottom w:val="0"/>
      <w:divBdr>
        <w:top w:val="none" w:sz="0" w:space="0" w:color="auto"/>
        <w:left w:val="none" w:sz="0" w:space="0" w:color="auto"/>
        <w:bottom w:val="none" w:sz="0" w:space="0" w:color="auto"/>
        <w:right w:val="none" w:sz="0" w:space="0" w:color="auto"/>
      </w:divBdr>
    </w:div>
    <w:div w:id="1076974932">
      <w:bodyDiv w:val="1"/>
      <w:marLeft w:val="0"/>
      <w:marRight w:val="0"/>
      <w:marTop w:val="0"/>
      <w:marBottom w:val="0"/>
      <w:divBdr>
        <w:top w:val="none" w:sz="0" w:space="0" w:color="auto"/>
        <w:left w:val="none" w:sz="0" w:space="0" w:color="auto"/>
        <w:bottom w:val="none" w:sz="0" w:space="0" w:color="auto"/>
        <w:right w:val="none" w:sz="0" w:space="0" w:color="auto"/>
      </w:divBdr>
    </w:div>
    <w:div w:id="1157644558">
      <w:bodyDiv w:val="1"/>
      <w:marLeft w:val="0"/>
      <w:marRight w:val="0"/>
      <w:marTop w:val="0"/>
      <w:marBottom w:val="0"/>
      <w:divBdr>
        <w:top w:val="none" w:sz="0" w:space="0" w:color="auto"/>
        <w:left w:val="none" w:sz="0" w:space="0" w:color="auto"/>
        <w:bottom w:val="none" w:sz="0" w:space="0" w:color="auto"/>
        <w:right w:val="none" w:sz="0" w:space="0" w:color="auto"/>
      </w:divBdr>
    </w:div>
    <w:div w:id="1250845648">
      <w:bodyDiv w:val="1"/>
      <w:marLeft w:val="0"/>
      <w:marRight w:val="0"/>
      <w:marTop w:val="0"/>
      <w:marBottom w:val="0"/>
      <w:divBdr>
        <w:top w:val="none" w:sz="0" w:space="0" w:color="auto"/>
        <w:left w:val="none" w:sz="0" w:space="0" w:color="auto"/>
        <w:bottom w:val="none" w:sz="0" w:space="0" w:color="auto"/>
        <w:right w:val="none" w:sz="0" w:space="0" w:color="auto"/>
      </w:divBdr>
    </w:div>
    <w:div w:id="1299798116">
      <w:bodyDiv w:val="1"/>
      <w:marLeft w:val="0"/>
      <w:marRight w:val="0"/>
      <w:marTop w:val="0"/>
      <w:marBottom w:val="0"/>
      <w:divBdr>
        <w:top w:val="none" w:sz="0" w:space="0" w:color="auto"/>
        <w:left w:val="none" w:sz="0" w:space="0" w:color="auto"/>
        <w:bottom w:val="none" w:sz="0" w:space="0" w:color="auto"/>
        <w:right w:val="none" w:sz="0" w:space="0" w:color="auto"/>
      </w:divBdr>
    </w:div>
    <w:div w:id="1347172295">
      <w:bodyDiv w:val="1"/>
      <w:marLeft w:val="0"/>
      <w:marRight w:val="0"/>
      <w:marTop w:val="0"/>
      <w:marBottom w:val="0"/>
      <w:divBdr>
        <w:top w:val="none" w:sz="0" w:space="0" w:color="auto"/>
        <w:left w:val="none" w:sz="0" w:space="0" w:color="auto"/>
        <w:bottom w:val="none" w:sz="0" w:space="0" w:color="auto"/>
        <w:right w:val="none" w:sz="0" w:space="0" w:color="auto"/>
      </w:divBdr>
    </w:div>
    <w:div w:id="1359893785">
      <w:bodyDiv w:val="1"/>
      <w:marLeft w:val="0"/>
      <w:marRight w:val="0"/>
      <w:marTop w:val="0"/>
      <w:marBottom w:val="0"/>
      <w:divBdr>
        <w:top w:val="none" w:sz="0" w:space="0" w:color="auto"/>
        <w:left w:val="none" w:sz="0" w:space="0" w:color="auto"/>
        <w:bottom w:val="none" w:sz="0" w:space="0" w:color="auto"/>
        <w:right w:val="none" w:sz="0" w:space="0" w:color="auto"/>
      </w:divBdr>
    </w:div>
    <w:div w:id="1374620341">
      <w:bodyDiv w:val="1"/>
      <w:marLeft w:val="0"/>
      <w:marRight w:val="0"/>
      <w:marTop w:val="0"/>
      <w:marBottom w:val="0"/>
      <w:divBdr>
        <w:top w:val="none" w:sz="0" w:space="0" w:color="auto"/>
        <w:left w:val="none" w:sz="0" w:space="0" w:color="auto"/>
        <w:bottom w:val="none" w:sz="0" w:space="0" w:color="auto"/>
        <w:right w:val="none" w:sz="0" w:space="0" w:color="auto"/>
      </w:divBdr>
    </w:div>
    <w:div w:id="1408770756">
      <w:bodyDiv w:val="1"/>
      <w:marLeft w:val="0"/>
      <w:marRight w:val="0"/>
      <w:marTop w:val="0"/>
      <w:marBottom w:val="0"/>
      <w:divBdr>
        <w:top w:val="none" w:sz="0" w:space="0" w:color="auto"/>
        <w:left w:val="none" w:sz="0" w:space="0" w:color="auto"/>
        <w:bottom w:val="none" w:sz="0" w:space="0" w:color="auto"/>
        <w:right w:val="none" w:sz="0" w:space="0" w:color="auto"/>
      </w:divBdr>
    </w:div>
    <w:div w:id="1477186774">
      <w:bodyDiv w:val="1"/>
      <w:marLeft w:val="0"/>
      <w:marRight w:val="0"/>
      <w:marTop w:val="0"/>
      <w:marBottom w:val="0"/>
      <w:divBdr>
        <w:top w:val="none" w:sz="0" w:space="0" w:color="auto"/>
        <w:left w:val="none" w:sz="0" w:space="0" w:color="auto"/>
        <w:bottom w:val="none" w:sz="0" w:space="0" w:color="auto"/>
        <w:right w:val="none" w:sz="0" w:space="0" w:color="auto"/>
      </w:divBdr>
    </w:div>
    <w:div w:id="1531184944">
      <w:bodyDiv w:val="1"/>
      <w:marLeft w:val="0"/>
      <w:marRight w:val="0"/>
      <w:marTop w:val="0"/>
      <w:marBottom w:val="0"/>
      <w:divBdr>
        <w:top w:val="none" w:sz="0" w:space="0" w:color="auto"/>
        <w:left w:val="none" w:sz="0" w:space="0" w:color="auto"/>
        <w:bottom w:val="none" w:sz="0" w:space="0" w:color="auto"/>
        <w:right w:val="none" w:sz="0" w:space="0" w:color="auto"/>
      </w:divBdr>
    </w:div>
    <w:div w:id="1564870250">
      <w:bodyDiv w:val="1"/>
      <w:marLeft w:val="0"/>
      <w:marRight w:val="0"/>
      <w:marTop w:val="0"/>
      <w:marBottom w:val="0"/>
      <w:divBdr>
        <w:top w:val="none" w:sz="0" w:space="0" w:color="auto"/>
        <w:left w:val="none" w:sz="0" w:space="0" w:color="auto"/>
        <w:bottom w:val="none" w:sz="0" w:space="0" w:color="auto"/>
        <w:right w:val="none" w:sz="0" w:space="0" w:color="auto"/>
      </w:divBdr>
      <w:divsChild>
        <w:div w:id="200938822">
          <w:marLeft w:val="0"/>
          <w:marRight w:val="0"/>
          <w:marTop w:val="0"/>
          <w:marBottom w:val="0"/>
          <w:divBdr>
            <w:top w:val="none" w:sz="0" w:space="0" w:color="auto"/>
            <w:left w:val="none" w:sz="0" w:space="0" w:color="auto"/>
            <w:bottom w:val="none" w:sz="0" w:space="0" w:color="auto"/>
            <w:right w:val="none" w:sz="0" w:space="0" w:color="auto"/>
          </w:divBdr>
        </w:div>
        <w:div w:id="972250281">
          <w:marLeft w:val="0"/>
          <w:marRight w:val="0"/>
          <w:marTop w:val="0"/>
          <w:marBottom w:val="0"/>
          <w:divBdr>
            <w:top w:val="none" w:sz="0" w:space="0" w:color="auto"/>
            <w:left w:val="none" w:sz="0" w:space="0" w:color="auto"/>
            <w:bottom w:val="none" w:sz="0" w:space="0" w:color="auto"/>
            <w:right w:val="none" w:sz="0" w:space="0" w:color="auto"/>
          </w:divBdr>
        </w:div>
      </w:divsChild>
    </w:div>
    <w:div w:id="1790735006">
      <w:bodyDiv w:val="1"/>
      <w:marLeft w:val="0"/>
      <w:marRight w:val="0"/>
      <w:marTop w:val="0"/>
      <w:marBottom w:val="0"/>
      <w:divBdr>
        <w:top w:val="none" w:sz="0" w:space="0" w:color="auto"/>
        <w:left w:val="none" w:sz="0" w:space="0" w:color="auto"/>
        <w:bottom w:val="none" w:sz="0" w:space="0" w:color="auto"/>
        <w:right w:val="none" w:sz="0" w:space="0" w:color="auto"/>
      </w:divBdr>
    </w:div>
    <w:div w:id="1900823622">
      <w:bodyDiv w:val="1"/>
      <w:marLeft w:val="0"/>
      <w:marRight w:val="0"/>
      <w:marTop w:val="0"/>
      <w:marBottom w:val="0"/>
      <w:divBdr>
        <w:top w:val="none" w:sz="0" w:space="0" w:color="auto"/>
        <w:left w:val="none" w:sz="0" w:space="0" w:color="auto"/>
        <w:bottom w:val="none" w:sz="0" w:space="0" w:color="auto"/>
        <w:right w:val="none" w:sz="0" w:space="0" w:color="auto"/>
      </w:divBdr>
    </w:div>
    <w:div w:id="205986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lymed.nlm.nih.gov/dailymed/drugInfo.cfm?setid=ca668546-c8ba-af0a-e053-2995a90a2300&amp;audience=consumer"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www.felleskatalogen.no/medisin/fosfomycin-infectopharm-642767"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www.medicines.org.uk/emc/product/7329/smpc"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hl7-eu/gravitate-health/tree/master/input/fsh/Suliqua-instances-en" TargetMode="External"/><Relationship Id="rId4" Type="http://schemas.openxmlformats.org/officeDocument/2006/relationships/settings" Target="settings.xml"/><Relationship Id="rId9" Type="http://schemas.openxmlformats.org/officeDocument/2006/relationships/hyperlink" Target="http://hl7.org/fhir/2021May/resourcelist.html"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9576-50A4-4BE6-9E8A-A5826A88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Craig</dc:creator>
  <cp:keywords/>
  <dc:description/>
  <cp:lastModifiedBy>Anderson, Craig</cp:lastModifiedBy>
  <cp:revision>69</cp:revision>
  <dcterms:created xsi:type="dcterms:W3CDTF">2021-12-20T14:02:00Z</dcterms:created>
  <dcterms:modified xsi:type="dcterms:W3CDTF">2021-12-20T16:51:00Z</dcterms:modified>
</cp:coreProperties>
</file>