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79FF" w14:textId="146B0B0D" w:rsidR="002F7AD9" w:rsidRDefault="002F7AD9" w:rsidP="008E0722">
      <w:pPr>
        <w:pStyle w:val="Heading1"/>
        <w:numPr>
          <w:ilvl w:val="0"/>
          <w:numId w:val="0"/>
        </w:numPr>
        <w:ind w:left="432" w:hanging="432"/>
        <w:jc w:val="center"/>
      </w:pPr>
      <w:proofErr w:type="spellStart"/>
      <w:r>
        <w:t>Suliqua</w:t>
      </w:r>
      <w:proofErr w:type="spellEnd"/>
      <w:r>
        <w:t xml:space="preserve"> </w:t>
      </w:r>
      <w:proofErr w:type="spellStart"/>
      <w:r>
        <w:t>ePI</w:t>
      </w:r>
      <w:proofErr w:type="spellEnd"/>
      <w:r>
        <w:t xml:space="preserve"> Structured Data</w:t>
      </w:r>
    </w:p>
    <w:p w14:paraId="6993B827" w14:textId="5ED49817" w:rsidR="008E0722" w:rsidRPr="008E0722" w:rsidRDefault="008E0722" w:rsidP="008E0722">
      <w:r>
        <w:t xml:space="preserve">Link to SmPC: </w:t>
      </w:r>
      <w:hyperlink r:id="rId6" w:history="1">
        <w:proofErr w:type="spellStart"/>
        <w:r>
          <w:rPr>
            <w:rStyle w:val="Hyperlink"/>
          </w:rPr>
          <w:t>Suliqua</w:t>
        </w:r>
        <w:proofErr w:type="spellEnd"/>
        <w:r>
          <w:rPr>
            <w:rStyle w:val="Hyperlink"/>
          </w:rPr>
          <w:t xml:space="preserve">, INN - insulin glargine + </w:t>
        </w:r>
        <w:proofErr w:type="spellStart"/>
        <w:r>
          <w:rPr>
            <w:rStyle w:val="Hyperlink"/>
          </w:rPr>
          <w:t>lixisenatide</w:t>
        </w:r>
        <w:proofErr w:type="spellEnd"/>
        <w:r>
          <w:rPr>
            <w:rStyle w:val="Hyperlink"/>
          </w:rPr>
          <w:t xml:space="preserve"> (europa.eu)</w:t>
        </w:r>
      </w:hyperlink>
    </w:p>
    <w:p w14:paraId="5CFCF9C9" w14:textId="1464A93F" w:rsidR="002F7AD9" w:rsidRDefault="00E26C66" w:rsidP="002F7AD9">
      <w:pPr>
        <w:rPr>
          <w:rStyle w:val="Hyperlink"/>
        </w:rPr>
      </w:pPr>
      <w:r>
        <w:t xml:space="preserve">Link to FHIR R5 </w:t>
      </w:r>
      <w:hyperlink r:id="rId7" w:history="1">
        <w:r w:rsidRPr="00E26C66">
          <w:rPr>
            <w:rStyle w:val="Hyperlink"/>
          </w:rPr>
          <w:t>(4.6.0) resources</w:t>
        </w:r>
      </w:hyperlink>
    </w:p>
    <w:p w14:paraId="68546045" w14:textId="5A2C5C26" w:rsidR="00A30952" w:rsidRDefault="00A30952" w:rsidP="00A30952">
      <w:r w:rsidRPr="00A30952">
        <w:t xml:space="preserve">Link to </w:t>
      </w:r>
      <w:proofErr w:type="spellStart"/>
      <w:r w:rsidRPr="00A30952">
        <w:t>Skilarence</w:t>
      </w:r>
      <w:proofErr w:type="spellEnd"/>
      <w:r w:rsidRPr="00A30952">
        <w:t xml:space="preserve"> template:</w:t>
      </w:r>
      <w:r>
        <w:t xml:space="preserve"> </w:t>
      </w:r>
      <w:hyperlink r:id="rId8" w:history="1">
        <w:r>
          <w:rPr>
            <w:rStyle w:val="Hyperlink"/>
          </w:rPr>
          <w:t>gravitate-health/input/</w:t>
        </w:r>
        <w:proofErr w:type="spellStart"/>
        <w:r>
          <w:rPr>
            <w:rStyle w:val="Hyperlink"/>
          </w:rPr>
          <w:t>fsh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Suliqua</w:t>
        </w:r>
        <w:proofErr w:type="spellEnd"/>
        <w:r>
          <w:rPr>
            <w:rStyle w:val="Hyperlink"/>
          </w:rPr>
          <w:t>-instances-</w:t>
        </w:r>
        <w:proofErr w:type="spellStart"/>
        <w:r>
          <w:rPr>
            <w:rStyle w:val="Hyperlink"/>
          </w:rPr>
          <w:t>en</w:t>
        </w:r>
        <w:proofErr w:type="spellEnd"/>
        <w:r>
          <w:rPr>
            <w:rStyle w:val="Hyperlink"/>
          </w:rPr>
          <w:t xml:space="preserve"> at master · hl7-eu/gravitate-health (github.com)</w:t>
        </w:r>
      </w:hyperlink>
    </w:p>
    <w:p w14:paraId="70077F2A" w14:textId="59568C62" w:rsidR="002F7AD9" w:rsidRDefault="002F7AD9" w:rsidP="002F7AD9">
      <w:pPr>
        <w:pStyle w:val="Heading1"/>
      </w:pPr>
      <w:r>
        <w:t>Bundle</w:t>
      </w:r>
    </w:p>
    <w:p w14:paraId="6AA664B8" w14:textId="77777777" w:rsidR="002F7AD9" w:rsidRDefault="002F7AD9" w:rsidP="002F7AD9">
      <w:r>
        <w:t>Package leaflet for 100/50 bundle</w:t>
      </w:r>
    </w:p>
    <w:p w14:paraId="0C72C76E" w14:textId="77777777" w:rsidR="002F7AD9" w:rsidRDefault="002F7AD9" w:rsidP="002F7AD9">
      <w:r>
        <w:t>Package leaflet for 100/30 bundle</w:t>
      </w:r>
    </w:p>
    <w:p w14:paraId="46814370" w14:textId="77777777" w:rsidR="002F7AD9" w:rsidRDefault="002F7AD9" w:rsidP="002F7AD9">
      <w:pPr>
        <w:pStyle w:val="Heading1"/>
      </w:pPr>
      <w:r>
        <w:t>Composition</w:t>
      </w:r>
    </w:p>
    <w:p w14:paraId="6804E944" w14:textId="1C654DF8" w:rsidR="002F7AD9" w:rsidRDefault="002F7AD9" w:rsidP="002F7AD9">
      <w:r>
        <w:t xml:space="preserve">Package leaflet for 100/50 </w:t>
      </w:r>
      <w:r w:rsidR="008E0722">
        <w:t>–</w:t>
      </w:r>
      <w:r>
        <w:t xml:space="preserve"> N</w:t>
      </w:r>
      <w:r w:rsidR="008E0722">
        <w:t>orwegian text</w:t>
      </w:r>
    </w:p>
    <w:p w14:paraId="1F75BDC8" w14:textId="6B66E06A" w:rsidR="002F7AD9" w:rsidRDefault="002F7AD9" w:rsidP="002F7AD9">
      <w:r>
        <w:t xml:space="preserve">Package leaflet for 100/30 </w:t>
      </w:r>
      <w:r w:rsidR="008E0722">
        <w:t>–</w:t>
      </w:r>
      <w:r>
        <w:t xml:space="preserve"> N</w:t>
      </w:r>
      <w:r w:rsidR="008E0722">
        <w:t>orwegian text</w:t>
      </w:r>
    </w:p>
    <w:p w14:paraId="73CC973C" w14:textId="77777777" w:rsidR="002F7AD9" w:rsidRDefault="002F7AD9" w:rsidP="002F7AD9">
      <w:pPr>
        <w:pStyle w:val="Heading1"/>
      </w:pPr>
      <w:r>
        <w:t>Organization</w:t>
      </w:r>
    </w:p>
    <w:p w14:paraId="0AD2C7D9" w14:textId="190E71DE" w:rsidR="002F7AD9" w:rsidRPr="002F7AD9" w:rsidRDefault="002F7AD9" w:rsidP="002F7AD9">
      <w:pPr>
        <w:rPr>
          <w:u w:val="single"/>
        </w:rPr>
      </w:pPr>
      <w:r w:rsidRPr="002F7AD9">
        <w:rPr>
          <w:u w:val="single"/>
        </w:rPr>
        <w:t>M</w:t>
      </w:r>
      <w:r w:rsidR="008E0722">
        <w:rPr>
          <w:u w:val="single"/>
        </w:rPr>
        <w:t>arket Authorization Holder</w:t>
      </w:r>
    </w:p>
    <w:p w14:paraId="53497B5D" w14:textId="77777777" w:rsidR="002F7AD9" w:rsidRDefault="002F7AD9" w:rsidP="002F7AD9">
      <w:pPr>
        <w:spacing w:after="0" w:line="240" w:lineRule="auto"/>
      </w:pPr>
      <w:proofErr w:type="spellStart"/>
      <w:r>
        <w:t>sanofi-aventis</w:t>
      </w:r>
      <w:proofErr w:type="spellEnd"/>
      <w:r>
        <w:t xml:space="preserve"> </w:t>
      </w:r>
      <w:proofErr w:type="spellStart"/>
      <w:r>
        <w:t>groupe</w:t>
      </w:r>
      <w:proofErr w:type="spellEnd"/>
      <w:r>
        <w:t xml:space="preserve"> </w:t>
      </w:r>
    </w:p>
    <w:p w14:paraId="450E8D14" w14:textId="77777777" w:rsidR="002F7AD9" w:rsidRDefault="002F7AD9" w:rsidP="002F7AD9">
      <w:pPr>
        <w:spacing w:after="0" w:line="240" w:lineRule="auto"/>
      </w:pPr>
      <w:r>
        <w:t xml:space="preserve">54, rue La </w:t>
      </w:r>
      <w:proofErr w:type="spellStart"/>
      <w:r>
        <w:t>Boétie</w:t>
      </w:r>
      <w:proofErr w:type="spellEnd"/>
      <w:r>
        <w:t xml:space="preserve"> </w:t>
      </w:r>
    </w:p>
    <w:p w14:paraId="5A47207D" w14:textId="77777777" w:rsidR="002F7AD9" w:rsidRDefault="002F7AD9" w:rsidP="002F7AD9">
      <w:pPr>
        <w:spacing w:after="0" w:line="240" w:lineRule="auto"/>
      </w:pPr>
      <w:r>
        <w:t>75008 Paris</w:t>
      </w:r>
    </w:p>
    <w:p w14:paraId="75B64EA6" w14:textId="77777777" w:rsidR="002F7AD9" w:rsidRDefault="002F7AD9" w:rsidP="002F7AD9">
      <w:pPr>
        <w:spacing w:after="0" w:line="240" w:lineRule="auto"/>
      </w:pPr>
      <w:r>
        <w:t>France</w:t>
      </w:r>
    </w:p>
    <w:p w14:paraId="6DF41E14" w14:textId="77777777" w:rsidR="002F7AD9" w:rsidRDefault="002F7AD9" w:rsidP="002F7AD9"/>
    <w:p w14:paraId="4932D522" w14:textId="77777777" w:rsidR="002F7AD9" w:rsidRPr="002F7AD9" w:rsidRDefault="002F7AD9" w:rsidP="002F7AD9">
      <w:pPr>
        <w:rPr>
          <w:u w:val="single"/>
        </w:rPr>
      </w:pPr>
      <w:r w:rsidRPr="002F7AD9">
        <w:rPr>
          <w:u w:val="single"/>
        </w:rPr>
        <w:t>Manufacturer API</w:t>
      </w:r>
    </w:p>
    <w:p w14:paraId="4B4E8321" w14:textId="77777777" w:rsidR="006C12F7" w:rsidRDefault="002F7AD9" w:rsidP="002F7AD9">
      <w:pPr>
        <w:spacing w:after="0" w:line="240" w:lineRule="auto"/>
      </w:pPr>
      <w:r>
        <w:t xml:space="preserve">Sanofi-Aventis Deutschland GmbH </w:t>
      </w:r>
    </w:p>
    <w:p w14:paraId="06C903CD" w14:textId="6250A81E" w:rsidR="002F7AD9" w:rsidRDefault="002F7AD9" w:rsidP="002F7AD9">
      <w:pPr>
        <w:spacing w:after="0" w:line="240" w:lineRule="auto"/>
      </w:pPr>
      <w:proofErr w:type="spellStart"/>
      <w:r>
        <w:t>Brueningstrasse</w:t>
      </w:r>
      <w:proofErr w:type="spellEnd"/>
      <w:r>
        <w:t xml:space="preserve"> 50</w:t>
      </w:r>
    </w:p>
    <w:p w14:paraId="68A394A1" w14:textId="77777777" w:rsidR="002F7AD9" w:rsidRDefault="002F7AD9" w:rsidP="002F7AD9">
      <w:pPr>
        <w:spacing w:after="0" w:line="240" w:lineRule="auto"/>
      </w:pPr>
      <w:proofErr w:type="spellStart"/>
      <w:r>
        <w:t>Industriepark</w:t>
      </w:r>
      <w:proofErr w:type="spellEnd"/>
      <w:r>
        <w:t xml:space="preserve"> Höchst</w:t>
      </w:r>
    </w:p>
    <w:p w14:paraId="6689D76D" w14:textId="77777777" w:rsidR="002F7AD9" w:rsidRDefault="002F7AD9" w:rsidP="002F7AD9">
      <w:pPr>
        <w:spacing w:after="0" w:line="240" w:lineRule="auto"/>
      </w:pPr>
      <w:r>
        <w:t>65926 Frankfurt am Main GERMANY</w:t>
      </w:r>
    </w:p>
    <w:p w14:paraId="511A62DD" w14:textId="77777777" w:rsidR="002F7AD9" w:rsidRDefault="002F7AD9" w:rsidP="002F7AD9"/>
    <w:p w14:paraId="7C4F9232" w14:textId="77777777" w:rsidR="002F7AD9" w:rsidRPr="002F7AD9" w:rsidRDefault="002F7AD9" w:rsidP="002F7AD9">
      <w:pPr>
        <w:rPr>
          <w:u w:val="single"/>
        </w:rPr>
      </w:pPr>
      <w:r w:rsidRPr="002F7AD9">
        <w:rPr>
          <w:u w:val="single"/>
        </w:rPr>
        <w:t>Manufacturer Batch release</w:t>
      </w:r>
    </w:p>
    <w:p w14:paraId="435651F7" w14:textId="77777777" w:rsidR="002F7AD9" w:rsidRDefault="002F7AD9" w:rsidP="002F7AD9">
      <w:pPr>
        <w:spacing w:after="0" w:line="240" w:lineRule="auto"/>
      </w:pPr>
      <w:r>
        <w:t xml:space="preserve">Sanofi-Aventis Deutschland GmbH </w:t>
      </w:r>
      <w:proofErr w:type="spellStart"/>
      <w:r>
        <w:t>Brueningstrasse</w:t>
      </w:r>
      <w:proofErr w:type="spellEnd"/>
      <w:r>
        <w:t xml:space="preserve"> 50</w:t>
      </w:r>
    </w:p>
    <w:p w14:paraId="6193464C" w14:textId="77777777" w:rsidR="002F7AD9" w:rsidRDefault="002F7AD9" w:rsidP="002F7AD9">
      <w:pPr>
        <w:spacing w:after="0" w:line="240" w:lineRule="auto"/>
      </w:pPr>
      <w:proofErr w:type="spellStart"/>
      <w:r>
        <w:t>Industriepark</w:t>
      </w:r>
      <w:proofErr w:type="spellEnd"/>
      <w:r>
        <w:t xml:space="preserve"> Höchst</w:t>
      </w:r>
    </w:p>
    <w:p w14:paraId="69FCBC15" w14:textId="77777777" w:rsidR="002F7AD9" w:rsidRDefault="002F7AD9" w:rsidP="002F7AD9">
      <w:pPr>
        <w:spacing w:after="0" w:line="240" w:lineRule="auto"/>
      </w:pPr>
      <w:r>
        <w:t>65926 Frankfurt am Main GERMANY</w:t>
      </w:r>
    </w:p>
    <w:p w14:paraId="1FC84FBE" w14:textId="77777777" w:rsidR="002F7AD9" w:rsidRDefault="002F7AD9" w:rsidP="002F7AD9"/>
    <w:p w14:paraId="62A7E4E4" w14:textId="77777777" w:rsidR="002F7AD9" w:rsidRPr="002F7AD9" w:rsidRDefault="002F7AD9" w:rsidP="002F7AD9">
      <w:pPr>
        <w:rPr>
          <w:u w:val="single"/>
        </w:rPr>
      </w:pPr>
      <w:r w:rsidRPr="002F7AD9">
        <w:rPr>
          <w:u w:val="single"/>
        </w:rPr>
        <w:t>Regulator</w:t>
      </w:r>
    </w:p>
    <w:p w14:paraId="133DC1A8" w14:textId="77777777" w:rsidR="002F7AD9" w:rsidRDefault="002F7AD9" w:rsidP="002F7AD9">
      <w:pPr>
        <w:spacing w:after="0" w:line="240" w:lineRule="auto"/>
      </w:pPr>
      <w:r>
        <w:t>ORG-99999999</w:t>
      </w:r>
    </w:p>
    <w:p w14:paraId="433B035A" w14:textId="77777777" w:rsidR="002F7AD9" w:rsidRDefault="002F7AD9" w:rsidP="002F7AD9">
      <w:pPr>
        <w:spacing w:after="0" w:line="240" w:lineRule="auto"/>
      </w:pPr>
      <w:r>
        <w:t>European Medicines Agency</w:t>
      </w:r>
    </w:p>
    <w:p w14:paraId="49FC6BD0" w14:textId="77777777" w:rsidR="002F7AD9" w:rsidRDefault="002F7AD9" w:rsidP="002F7AD9">
      <w:pPr>
        <w:spacing w:after="0" w:line="240" w:lineRule="auto"/>
      </w:pPr>
      <w:r>
        <w:t xml:space="preserve">Domenico </w:t>
      </w:r>
      <w:proofErr w:type="spellStart"/>
      <w:r>
        <w:t>Scarlattilaan</w:t>
      </w:r>
      <w:proofErr w:type="spellEnd"/>
      <w:r>
        <w:t xml:space="preserve"> 6</w:t>
      </w:r>
    </w:p>
    <w:p w14:paraId="73C0D56A" w14:textId="77777777" w:rsidR="002F7AD9" w:rsidRDefault="002F7AD9" w:rsidP="002F7AD9">
      <w:pPr>
        <w:spacing w:after="0" w:line="240" w:lineRule="auto"/>
      </w:pPr>
      <w:r>
        <w:t>1083 HS Amsterdam</w:t>
      </w:r>
    </w:p>
    <w:p w14:paraId="0FCAD420" w14:textId="47C82EF4" w:rsidR="002F7AD9" w:rsidRDefault="002F7AD9" w:rsidP="002F7AD9">
      <w:pPr>
        <w:spacing w:after="0" w:line="240" w:lineRule="auto"/>
      </w:pPr>
      <w:r>
        <w:lastRenderedPageBreak/>
        <w:t>The Netherlands</w:t>
      </w:r>
    </w:p>
    <w:p w14:paraId="7E4C200B" w14:textId="77777777" w:rsidR="002F7AD9" w:rsidRDefault="002F7AD9" w:rsidP="002F7AD9">
      <w:pPr>
        <w:rPr>
          <w:highlight w:val="yellow"/>
        </w:rPr>
      </w:pPr>
    </w:p>
    <w:p w14:paraId="0E0727B4" w14:textId="497649F2" w:rsidR="002F7AD9" w:rsidRDefault="002F7AD9" w:rsidP="002F7AD9">
      <w:r w:rsidRPr="002F7AD9">
        <w:rPr>
          <w:highlight w:val="yellow"/>
        </w:rPr>
        <w:t xml:space="preserve">Can reuse the same EMA Organization resource from </w:t>
      </w:r>
      <w:proofErr w:type="spellStart"/>
      <w:r w:rsidRPr="002F7AD9">
        <w:rPr>
          <w:highlight w:val="yellow"/>
        </w:rPr>
        <w:t>Skilarence</w:t>
      </w:r>
      <w:proofErr w:type="spellEnd"/>
    </w:p>
    <w:p w14:paraId="438AD8C4" w14:textId="77777777" w:rsidR="002F7AD9" w:rsidRDefault="002F7AD9" w:rsidP="002F7AD9">
      <w:pPr>
        <w:pStyle w:val="Heading1"/>
      </w:pPr>
      <w:r>
        <w:t>Regulated Authorization</w:t>
      </w:r>
    </w:p>
    <w:p w14:paraId="40AAAFC5" w14:textId="42C0335A" w:rsidR="002F7AD9" w:rsidRDefault="002F7AD9" w:rsidP="002F7AD9">
      <w:r>
        <w:t xml:space="preserve">EU/1/16/1157/001 </w:t>
      </w:r>
      <w:r>
        <w:tab/>
        <w:t xml:space="preserve">100/50 </w:t>
      </w:r>
      <w:r>
        <w:tab/>
      </w:r>
      <w:r>
        <w:tab/>
        <w:t>x3 pre-filled pens</w:t>
      </w:r>
    </w:p>
    <w:p w14:paraId="6F25E6DD" w14:textId="358D3EE5" w:rsidR="002F7AD9" w:rsidRDefault="002F7AD9" w:rsidP="002F7AD9">
      <w:r>
        <w:t xml:space="preserve">EU/1/16/1157/002 </w:t>
      </w:r>
      <w:r>
        <w:tab/>
        <w:t xml:space="preserve">100/50 </w:t>
      </w:r>
      <w:r>
        <w:tab/>
      </w:r>
      <w:r>
        <w:tab/>
        <w:t>x5 pre-filled pens</w:t>
      </w:r>
    </w:p>
    <w:p w14:paraId="1C16A55F" w14:textId="0E10AAAC" w:rsidR="002F7AD9" w:rsidRDefault="002F7AD9" w:rsidP="002F7AD9">
      <w:r>
        <w:t xml:space="preserve">EU/1/16/1157/003 </w:t>
      </w:r>
      <w:r>
        <w:tab/>
        <w:t xml:space="preserve">100/33 </w:t>
      </w:r>
      <w:r>
        <w:tab/>
      </w:r>
      <w:r>
        <w:tab/>
        <w:t>x3 pre-filled pens</w:t>
      </w:r>
    </w:p>
    <w:p w14:paraId="2BD2F55F" w14:textId="5BBC296B" w:rsidR="002F7AD9" w:rsidRDefault="002F7AD9" w:rsidP="002F7AD9">
      <w:r>
        <w:t xml:space="preserve">EU/1/16/1157/004 </w:t>
      </w:r>
      <w:r>
        <w:tab/>
        <w:t xml:space="preserve">100/33 </w:t>
      </w:r>
      <w:r>
        <w:tab/>
      </w:r>
      <w:r>
        <w:tab/>
        <w:t>x5 pre-filled pens</w:t>
      </w:r>
    </w:p>
    <w:p w14:paraId="571BF867" w14:textId="48BD0590" w:rsidR="002F7AD9" w:rsidRDefault="002F7AD9" w:rsidP="002F7AD9">
      <w:r>
        <w:t xml:space="preserve">EU/1/16/1157/005 </w:t>
      </w:r>
      <w:r>
        <w:tab/>
        <w:t xml:space="preserve">100/50 </w:t>
      </w:r>
      <w:r>
        <w:tab/>
      </w:r>
      <w:r>
        <w:tab/>
        <w:t>x10 pre-filled pens</w:t>
      </w:r>
    </w:p>
    <w:p w14:paraId="67157EC7" w14:textId="75591FFA" w:rsidR="002F7AD9" w:rsidRDefault="002F7AD9" w:rsidP="002F7AD9">
      <w:r>
        <w:t xml:space="preserve">EU/1/16/1157/006 </w:t>
      </w:r>
      <w:r>
        <w:tab/>
        <w:t xml:space="preserve">100/33 </w:t>
      </w:r>
      <w:r>
        <w:tab/>
      </w:r>
      <w:r>
        <w:tab/>
        <w:t>x10 pre-filled pens</w:t>
      </w:r>
    </w:p>
    <w:p w14:paraId="49D2703E" w14:textId="77777777" w:rsidR="002F7AD9" w:rsidRDefault="002F7AD9" w:rsidP="002F7AD9">
      <w:pPr>
        <w:pStyle w:val="Heading1"/>
      </w:pPr>
      <w:r>
        <w:t>Medicinal product definition</w:t>
      </w:r>
    </w:p>
    <w:p w14:paraId="2928E48C" w14:textId="2F92864A" w:rsidR="002F7AD9" w:rsidRDefault="002F7AD9" w:rsidP="002F7AD9">
      <w:r>
        <w:t xml:space="preserve">EU/1/16/1157/001 </w:t>
      </w:r>
      <w:r>
        <w:tab/>
        <w:t xml:space="preserve">100/50 </w:t>
      </w:r>
      <w:r>
        <w:tab/>
      </w:r>
      <w:r>
        <w:tab/>
        <w:t>x3 pre-filled pens</w:t>
      </w:r>
    </w:p>
    <w:p w14:paraId="20D4A986" w14:textId="3CE27648" w:rsidR="002F7AD9" w:rsidRDefault="002F7AD9" w:rsidP="002F7AD9">
      <w:r>
        <w:t xml:space="preserve">EU/1/16/1157/002 </w:t>
      </w:r>
      <w:r>
        <w:tab/>
        <w:t xml:space="preserve">100/50 </w:t>
      </w:r>
      <w:r>
        <w:tab/>
      </w:r>
      <w:r>
        <w:tab/>
        <w:t>x5 pre-filled pens</w:t>
      </w:r>
    </w:p>
    <w:p w14:paraId="19784B47" w14:textId="56E07AE0" w:rsidR="002F7AD9" w:rsidRDefault="002F7AD9" w:rsidP="002F7AD9">
      <w:r>
        <w:t xml:space="preserve">EU/1/16/1157/003 </w:t>
      </w:r>
      <w:r>
        <w:tab/>
        <w:t xml:space="preserve">100/33 </w:t>
      </w:r>
      <w:r>
        <w:tab/>
      </w:r>
      <w:r>
        <w:tab/>
        <w:t>x3 pre-filled pens</w:t>
      </w:r>
    </w:p>
    <w:p w14:paraId="36ECB537" w14:textId="7CD6D197" w:rsidR="002F7AD9" w:rsidRDefault="002F7AD9" w:rsidP="002F7AD9">
      <w:r>
        <w:t xml:space="preserve">EU/1/16/1157/004 </w:t>
      </w:r>
      <w:r>
        <w:tab/>
        <w:t xml:space="preserve">100/33 </w:t>
      </w:r>
      <w:r>
        <w:tab/>
      </w:r>
      <w:r>
        <w:tab/>
        <w:t>x5 pre-filled pens</w:t>
      </w:r>
    </w:p>
    <w:p w14:paraId="31F0D154" w14:textId="58339579" w:rsidR="002F7AD9" w:rsidRDefault="002F7AD9" w:rsidP="002F7AD9">
      <w:r>
        <w:t xml:space="preserve">EU/1/16/1157/005 </w:t>
      </w:r>
      <w:r>
        <w:tab/>
        <w:t xml:space="preserve">100/50 </w:t>
      </w:r>
      <w:r>
        <w:tab/>
      </w:r>
      <w:r>
        <w:tab/>
        <w:t>x10 pre-filled pens</w:t>
      </w:r>
    </w:p>
    <w:p w14:paraId="7E9B4EE4" w14:textId="4DFA3A78" w:rsidR="002F7AD9" w:rsidRDefault="002F7AD9" w:rsidP="002F7AD9">
      <w:r>
        <w:t xml:space="preserve">EU/1/16/1157/006 </w:t>
      </w:r>
      <w:r>
        <w:tab/>
        <w:t xml:space="preserve">100/33 </w:t>
      </w:r>
      <w:r>
        <w:tab/>
      </w:r>
      <w:r>
        <w:tab/>
        <w:t>x10 pre-filled pens</w:t>
      </w:r>
    </w:p>
    <w:p w14:paraId="3C8C3380" w14:textId="77777777" w:rsidR="002F7AD9" w:rsidRDefault="002F7AD9" w:rsidP="002F7AD9">
      <w:pPr>
        <w:pStyle w:val="Heading1"/>
      </w:pPr>
      <w:r>
        <w:t>Packaged product definition</w:t>
      </w:r>
    </w:p>
    <w:p w14:paraId="69A08F1D" w14:textId="77777777" w:rsidR="002F7AD9" w:rsidRDefault="002F7AD9" w:rsidP="002F7AD9">
      <w:r>
        <w:t>Carton with this many pens:</w:t>
      </w:r>
    </w:p>
    <w:p w14:paraId="4F9F2EAA" w14:textId="674278A9" w:rsidR="002F7AD9" w:rsidRDefault="002F7AD9" w:rsidP="002F7AD9">
      <w:r>
        <w:t xml:space="preserve">EU/1/16/1157/001 </w:t>
      </w:r>
      <w:r>
        <w:tab/>
        <w:t xml:space="preserve">100/50 </w:t>
      </w:r>
      <w:r>
        <w:tab/>
      </w:r>
      <w:r>
        <w:tab/>
        <w:t>x3 pre-filled pens</w:t>
      </w:r>
    </w:p>
    <w:p w14:paraId="28CE1583" w14:textId="521C6CF1" w:rsidR="002F7AD9" w:rsidRDefault="002F7AD9" w:rsidP="002F7AD9">
      <w:r>
        <w:t xml:space="preserve">EU/1/16/1157/002 </w:t>
      </w:r>
      <w:r>
        <w:tab/>
        <w:t xml:space="preserve">100/50 </w:t>
      </w:r>
      <w:r>
        <w:tab/>
      </w:r>
      <w:r>
        <w:tab/>
        <w:t>x5 pre-filled pens</w:t>
      </w:r>
    </w:p>
    <w:p w14:paraId="051C0FB2" w14:textId="47492443" w:rsidR="002F7AD9" w:rsidRDefault="002F7AD9" w:rsidP="002F7AD9">
      <w:r>
        <w:t xml:space="preserve">EU/1/16/1157/003 </w:t>
      </w:r>
      <w:r>
        <w:tab/>
        <w:t xml:space="preserve">100/33 </w:t>
      </w:r>
      <w:r>
        <w:tab/>
      </w:r>
      <w:r>
        <w:tab/>
        <w:t>x3 pre-filled pens</w:t>
      </w:r>
    </w:p>
    <w:p w14:paraId="2092CF9F" w14:textId="2A4F64A1" w:rsidR="002F7AD9" w:rsidRDefault="002F7AD9" w:rsidP="002F7AD9">
      <w:r>
        <w:t xml:space="preserve">EU/1/16/1157/004 </w:t>
      </w:r>
      <w:r>
        <w:tab/>
        <w:t xml:space="preserve">100/33 </w:t>
      </w:r>
      <w:r>
        <w:tab/>
      </w:r>
      <w:r>
        <w:tab/>
        <w:t>x5 pre-filled pens</w:t>
      </w:r>
    </w:p>
    <w:p w14:paraId="3B33C3D4" w14:textId="62BA219F" w:rsidR="002F7AD9" w:rsidRDefault="002F7AD9" w:rsidP="002F7AD9">
      <w:r>
        <w:t xml:space="preserve">EU/1/16/1157/005 </w:t>
      </w:r>
      <w:r>
        <w:tab/>
        <w:t xml:space="preserve">100/50 </w:t>
      </w:r>
      <w:r>
        <w:tab/>
      </w:r>
      <w:r>
        <w:tab/>
        <w:t>x10 pre-filled pens</w:t>
      </w:r>
    </w:p>
    <w:p w14:paraId="4BEC7747" w14:textId="79128BAE" w:rsidR="002F7AD9" w:rsidRDefault="002F7AD9" w:rsidP="002F7AD9">
      <w:r>
        <w:t xml:space="preserve">EU/1/16/1157/006 </w:t>
      </w:r>
      <w:r>
        <w:tab/>
        <w:t xml:space="preserve">100/33 </w:t>
      </w:r>
      <w:r>
        <w:tab/>
      </w:r>
      <w:r>
        <w:tab/>
        <w:t>x10 pre-filled pens</w:t>
      </w:r>
    </w:p>
    <w:p w14:paraId="60CE606B" w14:textId="0DCDC28B" w:rsidR="002F7AD9" w:rsidRPr="00E26C66" w:rsidRDefault="00E26C66" w:rsidP="002F7AD9">
      <w:pPr>
        <w:rPr>
          <w:u w:val="single"/>
        </w:rPr>
      </w:pPr>
      <w:r w:rsidRPr="00E26C66">
        <w:rPr>
          <w:u w:val="single"/>
        </w:rPr>
        <w:t>Pack type and material details</w:t>
      </w:r>
    </w:p>
    <w:p w14:paraId="489965AF" w14:textId="3FDEC8E9" w:rsidR="002F7AD9" w:rsidRDefault="002F7AD9" w:rsidP="002F7AD9">
      <w:r>
        <w:t>Packs of 3, 5 and 10 pre-filled pens.</w:t>
      </w:r>
    </w:p>
    <w:p w14:paraId="6E9B9F80" w14:textId="57858A2C" w:rsidR="002F7AD9" w:rsidRDefault="002F7AD9" w:rsidP="002F7AD9">
      <w:r>
        <w:lastRenderedPageBreak/>
        <w:t xml:space="preserve">Type I </w:t>
      </w:r>
      <w:proofErr w:type="spellStart"/>
      <w:r>
        <w:t>colourless</w:t>
      </w:r>
      <w:proofErr w:type="spellEnd"/>
      <w:r>
        <w:t xml:space="preserve"> glass cartridge with a black plunger (</w:t>
      </w:r>
      <w:proofErr w:type="spellStart"/>
      <w:r>
        <w:t>bromobutyl</w:t>
      </w:r>
      <w:proofErr w:type="spellEnd"/>
      <w:r>
        <w:t xml:space="preserve"> rubber) and a flanged cap (</w:t>
      </w:r>
      <w:proofErr w:type="spellStart"/>
      <w:r>
        <w:t>aluminium</w:t>
      </w:r>
      <w:proofErr w:type="spellEnd"/>
      <w:r>
        <w:t>) with inserted laminated sealing disks (</w:t>
      </w:r>
      <w:proofErr w:type="spellStart"/>
      <w:r>
        <w:t>bromobutyl</w:t>
      </w:r>
      <w:proofErr w:type="spellEnd"/>
      <w:r>
        <w:t xml:space="preserve"> rubber on the medicinal product side and polyisoprene on the outside) containing 3 ml of solution. </w:t>
      </w:r>
    </w:p>
    <w:p w14:paraId="16FDBDA5" w14:textId="77777777" w:rsidR="002F7AD9" w:rsidRDefault="002F7AD9" w:rsidP="002F7AD9">
      <w:r>
        <w:t>Not all pack sizes may be marketed.</w:t>
      </w:r>
    </w:p>
    <w:p w14:paraId="0AD365D9" w14:textId="36DF12D0" w:rsidR="002F7AD9" w:rsidRPr="002F7AD9" w:rsidRDefault="002F7AD9" w:rsidP="008E0722">
      <w:pPr>
        <w:keepNext/>
        <w:rPr>
          <w:u w:val="single"/>
        </w:rPr>
      </w:pPr>
      <w:r w:rsidRPr="002F7AD9">
        <w:rPr>
          <w:u w:val="single"/>
        </w:rPr>
        <w:t>Shelf life and storage conditions</w:t>
      </w:r>
    </w:p>
    <w:p w14:paraId="6AF6F54B" w14:textId="77777777" w:rsidR="002F7AD9" w:rsidRDefault="002F7AD9" w:rsidP="002F7AD9">
      <w:r>
        <w:t>24 months.</w:t>
      </w:r>
    </w:p>
    <w:p w14:paraId="1F2D38AE" w14:textId="77777777" w:rsidR="002F7AD9" w:rsidRDefault="002F7AD9" w:rsidP="002F7AD9">
      <w:r>
        <w:t xml:space="preserve">Shelf-life after first use of the pen: 28 days </w:t>
      </w:r>
      <w:proofErr w:type="gramStart"/>
      <w:r>
        <w:t>For</w:t>
      </w:r>
      <w:proofErr w:type="gramEnd"/>
      <w:r>
        <w:t xml:space="preserve"> in-use pens</w:t>
      </w:r>
    </w:p>
    <w:p w14:paraId="24E43D8F" w14:textId="77777777" w:rsidR="002F7AD9" w:rsidRDefault="002F7AD9" w:rsidP="002F7AD9">
      <w:r>
        <w:t>Store below 25°C. Do not refrigerate. Do not freeze.</w:t>
      </w:r>
    </w:p>
    <w:p w14:paraId="631A6253" w14:textId="77777777" w:rsidR="002F7AD9" w:rsidRDefault="002F7AD9" w:rsidP="002F7AD9">
      <w:r>
        <w:t>Do not store with attached needle.</w:t>
      </w:r>
    </w:p>
    <w:p w14:paraId="063B0005" w14:textId="77777777" w:rsidR="002F7AD9" w:rsidRDefault="002F7AD9" w:rsidP="002F7AD9">
      <w:r>
        <w:t xml:space="preserve">Store pen away from direct heat or direct light. The pen cap must be put back on the pen after each injection </w:t>
      </w:r>
      <w:proofErr w:type="gramStart"/>
      <w:r>
        <w:t>in order to</w:t>
      </w:r>
      <w:proofErr w:type="gramEnd"/>
      <w:r>
        <w:t xml:space="preserve"> protect from light.</w:t>
      </w:r>
    </w:p>
    <w:p w14:paraId="207C6894" w14:textId="77777777" w:rsidR="002F7AD9" w:rsidRDefault="002F7AD9" w:rsidP="002F7AD9"/>
    <w:p w14:paraId="5FC4C869" w14:textId="77777777" w:rsidR="002F7AD9" w:rsidRDefault="002F7AD9" w:rsidP="002F7AD9">
      <w:r>
        <w:t>Not in-use pens</w:t>
      </w:r>
    </w:p>
    <w:p w14:paraId="1B494B66" w14:textId="77777777" w:rsidR="002F7AD9" w:rsidRDefault="002F7AD9" w:rsidP="002F7AD9">
      <w:r>
        <w:t>Store in a refrigerator (2°C - 8°C).</w:t>
      </w:r>
    </w:p>
    <w:p w14:paraId="65DE4711" w14:textId="77777777" w:rsidR="002F7AD9" w:rsidRDefault="002F7AD9" w:rsidP="002F7AD9">
      <w:r>
        <w:t xml:space="preserve">Do not freeze or place next to the freezer compartment or a freezer pack. Keep the pre-filled pen in the outer carton </w:t>
      </w:r>
      <w:proofErr w:type="gramStart"/>
      <w:r>
        <w:t>in order to</w:t>
      </w:r>
      <w:proofErr w:type="gramEnd"/>
      <w:r>
        <w:t xml:space="preserve"> protect from light.</w:t>
      </w:r>
    </w:p>
    <w:p w14:paraId="4C1865D1" w14:textId="77777777" w:rsidR="002F7AD9" w:rsidRDefault="002F7AD9" w:rsidP="002F7AD9">
      <w:pPr>
        <w:pStyle w:val="Heading1"/>
      </w:pPr>
      <w:r>
        <w:t>Administrable product definition</w:t>
      </w:r>
    </w:p>
    <w:p w14:paraId="26782F8E" w14:textId="77777777" w:rsidR="002F7AD9" w:rsidRDefault="002F7AD9" w:rsidP="002F7AD9">
      <w:proofErr w:type="spellStart"/>
      <w:r>
        <w:t>Suliqua</w:t>
      </w:r>
      <w:proofErr w:type="spellEnd"/>
      <w:r>
        <w:t xml:space="preserve"> 100 units/ml + 50 micrograms/ml solution for injection in a pre-filled pen </w:t>
      </w:r>
    </w:p>
    <w:p w14:paraId="0708F051" w14:textId="77777777" w:rsidR="002F7AD9" w:rsidRDefault="002F7AD9" w:rsidP="002F7AD9">
      <w:proofErr w:type="spellStart"/>
      <w:r>
        <w:t>Suliqua</w:t>
      </w:r>
      <w:proofErr w:type="spellEnd"/>
      <w:r>
        <w:t xml:space="preserve"> 100 units/ml + 33 micrograms/ml solution for injection in a pre-filled pen</w:t>
      </w:r>
    </w:p>
    <w:p w14:paraId="533611B1" w14:textId="77777777" w:rsidR="002F7AD9" w:rsidRDefault="002F7AD9" w:rsidP="002F7AD9">
      <w:pPr>
        <w:pStyle w:val="Heading1"/>
      </w:pPr>
      <w:r>
        <w:t>Manufactured item definition</w:t>
      </w:r>
    </w:p>
    <w:p w14:paraId="40416882" w14:textId="77777777" w:rsidR="002F7AD9" w:rsidRDefault="002F7AD9" w:rsidP="002F7AD9">
      <w:proofErr w:type="spellStart"/>
      <w:r>
        <w:t>Suliqua</w:t>
      </w:r>
      <w:proofErr w:type="spellEnd"/>
      <w:r>
        <w:t xml:space="preserve"> 100 units/ml + 50 micrograms/ml solution for injection in a pre-filled pen </w:t>
      </w:r>
    </w:p>
    <w:p w14:paraId="1766A8A9" w14:textId="77777777" w:rsidR="002F7AD9" w:rsidRDefault="002F7AD9" w:rsidP="002F7AD9">
      <w:proofErr w:type="spellStart"/>
      <w:r>
        <w:t>Suliqua</w:t>
      </w:r>
      <w:proofErr w:type="spellEnd"/>
      <w:r>
        <w:t xml:space="preserve"> 100 units/ml + 33 micrograms/ml solution for injection in a pre-filled pen</w:t>
      </w:r>
    </w:p>
    <w:p w14:paraId="2158B218" w14:textId="77777777" w:rsidR="002F7AD9" w:rsidRDefault="002F7AD9" w:rsidP="002F7AD9">
      <w:pPr>
        <w:pStyle w:val="Heading1"/>
      </w:pPr>
      <w:r>
        <w:t>Ingredient</w:t>
      </w:r>
    </w:p>
    <w:p w14:paraId="62B51969" w14:textId="3350563C" w:rsidR="002F7AD9" w:rsidRDefault="002F7AD9" w:rsidP="002F7AD9">
      <w:r>
        <w:t xml:space="preserve">Insulin glargine 100 units/ml </w:t>
      </w:r>
      <w:r>
        <w:tab/>
      </w:r>
      <w:r>
        <w:tab/>
        <w:t>2ZM8CX04RZ</w:t>
      </w:r>
    </w:p>
    <w:p w14:paraId="589CB10D" w14:textId="11AEB960" w:rsidR="002F7AD9" w:rsidRDefault="002F7AD9" w:rsidP="002F7AD9">
      <w:proofErr w:type="spellStart"/>
      <w:r>
        <w:t>Lixisenatide</w:t>
      </w:r>
      <w:proofErr w:type="spellEnd"/>
      <w:r>
        <w:t xml:space="preserve"> 50 ug/ml </w:t>
      </w:r>
      <w:r>
        <w:tab/>
      </w:r>
      <w:r>
        <w:tab/>
      </w:r>
      <w:r>
        <w:tab/>
        <w:t>74O62BB01U</w:t>
      </w:r>
    </w:p>
    <w:p w14:paraId="755E59E0" w14:textId="5E4DD032" w:rsidR="002F7AD9" w:rsidRDefault="002F7AD9" w:rsidP="002F7AD9">
      <w:proofErr w:type="spellStart"/>
      <w:r>
        <w:t>Lixisenatide</w:t>
      </w:r>
      <w:proofErr w:type="spellEnd"/>
      <w:r>
        <w:t xml:space="preserve"> 33 ug/ml </w:t>
      </w:r>
      <w:r>
        <w:tab/>
      </w:r>
      <w:r>
        <w:tab/>
      </w:r>
      <w:r>
        <w:tab/>
        <w:t>74O62BB01U</w:t>
      </w:r>
    </w:p>
    <w:p w14:paraId="0F9D5B99" w14:textId="4639555F" w:rsidR="002F7AD9" w:rsidRDefault="002F7AD9" w:rsidP="002F7AD9">
      <w:r>
        <w:t xml:space="preserve">Glycerol 85% </w:t>
      </w:r>
      <w:r>
        <w:tab/>
      </w:r>
      <w:r>
        <w:tab/>
      </w:r>
      <w:r>
        <w:tab/>
      </w:r>
      <w:r>
        <w:tab/>
        <w:t>PDC6A3C0OX</w:t>
      </w:r>
    </w:p>
    <w:p w14:paraId="22CFB142" w14:textId="067A4DBA" w:rsidR="002F7AD9" w:rsidRDefault="002F7AD9" w:rsidP="002F7AD9">
      <w:r>
        <w:t xml:space="preserve">Methionine </w:t>
      </w:r>
      <w:r>
        <w:tab/>
      </w:r>
      <w:r>
        <w:tab/>
      </w:r>
      <w:r>
        <w:tab/>
      </w:r>
      <w:r>
        <w:tab/>
        <w:t>AE28F7PNPL</w:t>
      </w:r>
    </w:p>
    <w:p w14:paraId="14CFFF0E" w14:textId="4D0975CA" w:rsidR="002F7AD9" w:rsidRDefault="002F7AD9" w:rsidP="002F7AD9">
      <w:proofErr w:type="spellStart"/>
      <w:r>
        <w:t>Metacresol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GGO4Y809LO</w:t>
      </w:r>
    </w:p>
    <w:p w14:paraId="0A7879E8" w14:textId="7C17201A" w:rsidR="002F7AD9" w:rsidRDefault="002F7AD9" w:rsidP="002F7AD9">
      <w:r>
        <w:t xml:space="preserve">Zinc chloride </w:t>
      </w:r>
      <w:r>
        <w:tab/>
      </w:r>
      <w:r>
        <w:tab/>
      </w:r>
      <w:r>
        <w:tab/>
      </w:r>
      <w:r>
        <w:tab/>
        <w:t>86Q357L16B</w:t>
      </w:r>
    </w:p>
    <w:p w14:paraId="4AE96723" w14:textId="51E41080" w:rsidR="002F7AD9" w:rsidRDefault="002F7AD9" w:rsidP="002F7AD9">
      <w:r>
        <w:lastRenderedPageBreak/>
        <w:t xml:space="preserve">Concentrated hydrochloric acid </w:t>
      </w:r>
      <w:r>
        <w:tab/>
      </w:r>
      <w:r>
        <w:tab/>
        <w:t>QTT17582CB</w:t>
      </w:r>
    </w:p>
    <w:p w14:paraId="772689D8" w14:textId="0C23070D" w:rsidR="002F7AD9" w:rsidRDefault="002F7AD9" w:rsidP="002F7AD9">
      <w:r>
        <w:t xml:space="preserve">Sodium hydroxide </w:t>
      </w:r>
      <w:r>
        <w:tab/>
      </w:r>
      <w:r>
        <w:tab/>
      </w:r>
      <w:r>
        <w:tab/>
        <w:t>55X04QC32I</w:t>
      </w:r>
    </w:p>
    <w:p w14:paraId="1C832566" w14:textId="5C72DE2C" w:rsidR="002F7AD9" w:rsidRDefault="002F7AD9" w:rsidP="002F7AD9">
      <w:r>
        <w:t xml:space="preserve">Water for injections </w:t>
      </w:r>
      <w:r>
        <w:tab/>
      </w:r>
      <w:r>
        <w:tab/>
      </w:r>
      <w:r>
        <w:tab/>
        <w:t>059QF0KO0R</w:t>
      </w:r>
    </w:p>
    <w:p w14:paraId="6BCECE25" w14:textId="77777777" w:rsidR="002F7AD9" w:rsidRDefault="002F7AD9" w:rsidP="002F7AD9">
      <w:pPr>
        <w:pStyle w:val="Heading1"/>
      </w:pPr>
      <w:r>
        <w:t>Substance</w:t>
      </w:r>
    </w:p>
    <w:p w14:paraId="78D74EF3" w14:textId="77777777" w:rsidR="002F7AD9" w:rsidRDefault="002F7AD9" w:rsidP="002F7AD9">
      <w:r>
        <w:t xml:space="preserve">Insulin glargine 100 units/ml </w:t>
      </w:r>
      <w:r>
        <w:tab/>
      </w:r>
      <w:r>
        <w:tab/>
        <w:t>2ZM8CX04RZ</w:t>
      </w:r>
    </w:p>
    <w:p w14:paraId="76FCB576" w14:textId="14930C77" w:rsidR="002F7AD9" w:rsidRDefault="002F7AD9" w:rsidP="002F7AD9">
      <w:proofErr w:type="spellStart"/>
      <w:r>
        <w:t>Lixisenatide</w:t>
      </w:r>
      <w:proofErr w:type="spellEnd"/>
      <w:r>
        <w:tab/>
      </w:r>
      <w:r>
        <w:tab/>
      </w:r>
      <w:r>
        <w:tab/>
      </w:r>
      <w:r>
        <w:tab/>
        <w:t>74O62BB01U</w:t>
      </w:r>
    </w:p>
    <w:p w14:paraId="0CB8AE99" w14:textId="77777777" w:rsidR="002F7AD9" w:rsidRDefault="002F7AD9" w:rsidP="002F7AD9">
      <w:r>
        <w:t xml:space="preserve">Glycerol 85% </w:t>
      </w:r>
      <w:r>
        <w:tab/>
      </w:r>
      <w:r>
        <w:tab/>
      </w:r>
      <w:r>
        <w:tab/>
      </w:r>
      <w:r>
        <w:tab/>
        <w:t>PDC6A3C0OX</w:t>
      </w:r>
    </w:p>
    <w:p w14:paraId="240EE812" w14:textId="77777777" w:rsidR="002F7AD9" w:rsidRDefault="002F7AD9" w:rsidP="002F7AD9">
      <w:r>
        <w:t xml:space="preserve">Methionine </w:t>
      </w:r>
      <w:r>
        <w:tab/>
      </w:r>
      <w:r>
        <w:tab/>
      </w:r>
      <w:r>
        <w:tab/>
      </w:r>
      <w:r>
        <w:tab/>
        <w:t>AE28F7PNPL</w:t>
      </w:r>
    </w:p>
    <w:p w14:paraId="6AE9AEC3" w14:textId="77777777" w:rsidR="002F7AD9" w:rsidRDefault="002F7AD9" w:rsidP="002F7AD9">
      <w:proofErr w:type="spellStart"/>
      <w:r>
        <w:t>Metacresol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GGO4Y809LO</w:t>
      </w:r>
    </w:p>
    <w:p w14:paraId="21E25FD5" w14:textId="77777777" w:rsidR="002F7AD9" w:rsidRDefault="002F7AD9" w:rsidP="002F7AD9">
      <w:r>
        <w:t xml:space="preserve">Zinc chloride </w:t>
      </w:r>
      <w:r>
        <w:tab/>
      </w:r>
      <w:r>
        <w:tab/>
      </w:r>
      <w:r>
        <w:tab/>
      </w:r>
      <w:r>
        <w:tab/>
        <w:t>86Q357L16B</w:t>
      </w:r>
    </w:p>
    <w:p w14:paraId="048344ED" w14:textId="77777777" w:rsidR="002F7AD9" w:rsidRDefault="002F7AD9" w:rsidP="002F7AD9">
      <w:r>
        <w:t xml:space="preserve">Concentrated hydrochloric acid </w:t>
      </w:r>
      <w:r>
        <w:tab/>
      </w:r>
      <w:r>
        <w:tab/>
        <w:t>QTT17582CB</w:t>
      </w:r>
    </w:p>
    <w:p w14:paraId="3AF7E3B5" w14:textId="77777777" w:rsidR="002F7AD9" w:rsidRDefault="002F7AD9" w:rsidP="002F7AD9">
      <w:r>
        <w:t xml:space="preserve">Sodium hydroxide </w:t>
      </w:r>
      <w:r>
        <w:tab/>
      </w:r>
      <w:r>
        <w:tab/>
      </w:r>
      <w:r>
        <w:tab/>
        <w:t>55X04QC32I</w:t>
      </w:r>
    </w:p>
    <w:p w14:paraId="52E765A7" w14:textId="77777777" w:rsidR="002F7AD9" w:rsidRDefault="002F7AD9" w:rsidP="002F7AD9">
      <w:r>
        <w:t xml:space="preserve">Water for injections </w:t>
      </w:r>
      <w:r>
        <w:tab/>
      </w:r>
      <w:r>
        <w:tab/>
      </w:r>
      <w:r>
        <w:tab/>
        <w:t>059QF0KO0R</w:t>
      </w:r>
    </w:p>
    <w:p w14:paraId="632201B9" w14:textId="77777777" w:rsidR="002F7AD9" w:rsidRDefault="002F7AD9" w:rsidP="002F7AD9">
      <w:pPr>
        <w:pStyle w:val="Heading1"/>
      </w:pPr>
      <w:r>
        <w:t>Clinical use issue</w:t>
      </w:r>
    </w:p>
    <w:p w14:paraId="2AA8FEE2" w14:textId="77777777" w:rsidR="002F7AD9" w:rsidRDefault="002F7AD9" w:rsidP="002F7AD9">
      <w:r w:rsidRPr="00957E54">
        <w:rPr>
          <w:u w:val="single"/>
        </w:rPr>
        <w:t>Indication</w:t>
      </w:r>
      <w:r>
        <w:t xml:space="preserve"> #1 - type 2 diabetes </w:t>
      </w:r>
    </w:p>
    <w:tbl>
      <w:tblPr>
        <w:tblStyle w:val="TableGridLight"/>
        <w:tblW w:w="9285" w:type="dxa"/>
        <w:tblLook w:val="04A0" w:firstRow="1" w:lastRow="0" w:firstColumn="1" w:lastColumn="0" w:noHBand="0" w:noVBand="1"/>
      </w:tblPr>
      <w:tblGrid>
        <w:gridCol w:w="3163"/>
        <w:gridCol w:w="1307"/>
        <w:gridCol w:w="4815"/>
      </w:tblGrid>
      <w:tr w:rsidR="00CD0DA9" w:rsidRPr="00CD0DA9" w14:paraId="740D5998" w14:textId="77777777" w:rsidTr="00957E54">
        <w:tc>
          <w:tcPr>
            <w:tcW w:w="0" w:type="auto"/>
            <w:hideMark/>
          </w:tcPr>
          <w:p w14:paraId="1DA58798" w14:textId="77777777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TYPE 2 DIABETES MELLITUS</w:t>
            </w:r>
          </w:p>
        </w:tc>
        <w:tc>
          <w:tcPr>
            <w:tcW w:w="0" w:type="auto"/>
            <w:hideMark/>
          </w:tcPr>
          <w:p w14:paraId="724F85C4" w14:textId="77777777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10067585</w:t>
            </w:r>
          </w:p>
        </w:tc>
        <w:tc>
          <w:tcPr>
            <w:tcW w:w="0" w:type="auto"/>
            <w:hideMark/>
          </w:tcPr>
          <w:p w14:paraId="6FCBAF34" w14:textId="77777777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METABOLISM AND NUTRITION DISORDERS</w:t>
            </w:r>
          </w:p>
        </w:tc>
      </w:tr>
    </w:tbl>
    <w:p w14:paraId="3094C34B" w14:textId="77777777" w:rsidR="00CD0DA9" w:rsidRDefault="00CD0DA9" w:rsidP="002F7AD9"/>
    <w:p w14:paraId="2D1BC8A6" w14:textId="3D744556" w:rsidR="002F7AD9" w:rsidRDefault="002F7AD9" w:rsidP="002F7AD9">
      <w:r w:rsidRPr="00957E54">
        <w:rPr>
          <w:u w:val="single"/>
        </w:rPr>
        <w:t>Contraindication</w:t>
      </w:r>
      <w:r>
        <w:t xml:space="preserve"> #1 - hypersensitivity </w:t>
      </w:r>
    </w:p>
    <w:tbl>
      <w:tblPr>
        <w:tblStyle w:val="TableGridLight"/>
        <w:tblW w:w="9285" w:type="dxa"/>
        <w:tblLook w:val="04A0" w:firstRow="1" w:lastRow="0" w:firstColumn="1" w:lastColumn="0" w:noHBand="0" w:noVBand="1"/>
      </w:tblPr>
      <w:tblGrid>
        <w:gridCol w:w="3541"/>
        <w:gridCol w:w="1589"/>
        <w:gridCol w:w="4155"/>
      </w:tblGrid>
      <w:tr w:rsidR="00CD0DA9" w:rsidRPr="00CD0DA9" w14:paraId="0C801CF8" w14:textId="77777777" w:rsidTr="00957E54">
        <w:tc>
          <w:tcPr>
            <w:tcW w:w="0" w:type="auto"/>
            <w:hideMark/>
          </w:tcPr>
          <w:p w14:paraId="6DD4FCFA" w14:textId="2EFB53C9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DRUG HYPERSENSITIVITY</w:t>
            </w:r>
          </w:p>
        </w:tc>
        <w:tc>
          <w:tcPr>
            <w:tcW w:w="0" w:type="auto"/>
            <w:hideMark/>
          </w:tcPr>
          <w:p w14:paraId="1EF9F251" w14:textId="77777777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10013700</w:t>
            </w:r>
          </w:p>
        </w:tc>
        <w:tc>
          <w:tcPr>
            <w:tcW w:w="0" w:type="auto"/>
            <w:hideMark/>
          </w:tcPr>
          <w:p w14:paraId="75D1CBB0" w14:textId="77777777" w:rsidR="00CD0DA9" w:rsidRPr="00CD0DA9" w:rsidRDefault="00CD0DA9" w:rsidP="00CD0DA9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D0DA9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IMMUNE SYSTEM DISORDERS</w:t>
            </w:r>
          </w:p>
        </w:tc>
      </w:tr>
    </w:tbl>
    <w:p w14:paraId="41647956" w14:textId="77777777" w:rsidR="00CD0DA9" w:rsidRDefault="00CD0DA9" w:rsidP="002F7AD9">
      <w:pPr>
        <w:rPr>
          <w:rFonts w:ascii="Calibri" w:eastAsia="Times New Roman" w:hAnsi="Calibri" w:cs="Calibri"/>
          <w:color w:val="363636"/>
          <w:sz w:val="24"/>
          <w:szCs w:val="24"/>
        </w:rPr>
      </w:pPr>
    </w:p>
    <w:p w14:paraId="34BBAF8F" w14:textId="41B7C099" w:rsidR="002F7AD9" w:rsidRPr="00957E54" w:rsidRDefault="002F7AD9" w:rsidP="002F7AD9">
      <w:pPr>
        <w:rPr>
          <w:u w:val="single"/>
        </w:rPr>
      </w:pPr>
      <w:r w:rsidRPr="00957E54">
        <w:rPr>
          <w:u w:val="single"/>
        </w:rPr>
        <w:t>Interactions</w:t>
      </w:r>
    </w:p>
    <w:p w14:paraId="733A509C" w14:textId="7B46EBA0" w:rsidR="002F7AD9" w:rsidRDefault="00957E54" w:rsidP="002F7AD9">
      <w:r w:rsidRPr="00957E54">
        <w:rPr>
          <w:highlight w:val="yellow"/>
        </w:rPr>
        <w:t xml:space="preserve">Is there a way of getting the </w:t>
      </w:r>
      <w:proofErr w:type="spellStart"/>
      <w:r w:rsidRPr="00957E54">
        <w:rPr>
          <w:highlight w:val="yellow"/>
        </w:rPr>
        <w:t>Felleskatalogen</w:t>
      </w:r>
      <w:proofErr w:type="spellEnd"/>
      <w:r w:rsidRPr="00957E54">
        <w:rPr>
          <w:highlight w:val="yellow"/>
        </w:rPr>
        <w:t xml:space="preserve"> terms and codes out of your XML? Or do we need to code them?</w:t>
      </w:r>
    </w:p>
    <w:p w14:paraId="564875D0" w14:textId="77777777" w:rsidR="00957E54" w:rsidRDefault="00957E54" w:rsidP="002F7AD9"/>
    <w:p w14:paraId="1F336F4E" w14:textId="77777777" w:rsidR="002F7AD9" w:rsidRDefault="002F7AD9" w:rsidP="002F7AD9">
      <w:pPr>
        <w:pStyle w:val="Heading1"/>
      </w:pPr>
      <w:r>
        <w:t>Undesirable effects</w:t>
      </w:r>
    </w:p>
    <w:p w14:paraId="1341B5EA" w14:textId="102373CC" w:rsidR="002F7AD9" w:rsidRDefault="00957E54" w:rsidP="002F7AD9">
      <w:proofErr w:type="spellStart"/>
      <w:r>
        <w:t>MeDRA</w:t>
      </w:r>
      <w:proofErr w:type="spellEnd"/>
      <w:r>
        <w:t xml:space="preserve"> terms</w:t>
      </w:r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3429"/>
        <w:gridCol w:w="2094"/>
        <w:gridCol w:w="1190"/>
        <w:gridCol w:w="3722"/>
      </w:tblGrid>
      <w:tr w:rsidR="008E0722" w:rsidRPr="008E0722" w14:paraId="26045F4E" w14:textId="3B437C7E" w:rsidTr="00E26C66">
        <w:trPr>
          <w:tblHeader/>
        </w:trPr>
        <w:tc>
          <w:tcPr>
            <w:tcW w:w="3429" w:type="dxa"/>
          </w:tcPr>
          <w:p w14:paraId="4AB4E0C5" w14:textId="529BE504" w:rsidR="008E0722" w:rsidRPr="008E0722" w:rsidRDefault="008E0722" w:rsidP="008E0722">
            <w:pPr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  <w:t>System Organ Class</w:t>
            </w:r>
          </w:p>
        </w:tc>
        <w:tc>
          <w:tcPr>
            <w:tcW w:w="2094" w:type="dxa"/>
          </w:tcPr>
          <w:p w14:paraId="4A573385" w14:textId="52BD7EC3" w:rsidR="008E0722" w:rsidRPr="008E0722" w:rsidRDefault="008E0722" w:rsidP="008E0722">
            <w:pPr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  <w:t>Preferred Term</w:t>
            </w:r>
          </w:p>
        </w:tc>
        <w:tc>
          <w:tcPr>
            <w:tcW w:w="0" w:type="auto"/>
          </w:tcPr>
          <w:p w14:paraId="0E605E38" w14:textId="78180F04" w:rsidR="008E0722" w:rsidRPr="008E0722" w:rsidRDefault="008E0722" w:rsidP="008E0722">
            <w:pPr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  <w:t>Code</w:t>
            </w:r>
          </w:p>
        </w:tc>
        <w:tc>
          <w:tcPr>
            <w:tcW w:w="3722" w:type="dxa"/>
          </w:tcPr>
          <w:p w14:paraId="270BBC4D" w14:textId="74D1D9C9" w:rsidR="008E0722" w:rsidRPr="008E0722" w:rsidRDefault="008E0722" w:rsidP="008E0722">
            <w:pPr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363636"/>
                <w:sz w:val="24"/>
                <w:szCs w:val="24"/>
              </w:rPr>
              <w:t>Frequency</w:t>
            </w:r>
          </w:p>
        </w:tc>
      </w:tr>
      <w:tr w:rsidR="008E0722" w:rsidRPr="008E0722" w14:paraId="0F2DBE69" w14:textId="0843973D" w:rsidTr="00E26C66">
        <w:tc>
          <w:tcPr>
            <w:tcW w:w="3429" w:type="dxa"/>
          </w:tcPr>
          <w:p w14:paraId="1751CFAF" w14:textId="41ADAC16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GENERAL DISORDERS AND ADMINISTRATION SITE CONDITIONS</w:t>
            </w:r>
          </w:p>
        </w:tc>
        <w:tc>
          <w:tcPr>
            <w:tcW w:w="2094" w:type="dxa"/>
            <w:hideMark/>
          </w:tcPr>
          <w:p w14:paraId="4A0D34D5" w14:textId="181FCEEB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br/>
              <w:t>FATIGUE</w:t>
            </w:r>
          </w:p>
        </w:tc>
        <w:tc>
          <w:tcPr>
            <w:tcW w:w="0" w:type="auto"/>
            <w:hideMark/>
          </w:tcPr>
          <w:p w14:paraId="77B0AFBC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10016256</w:t>
            </w:r>
          </w:p>
        </w:tc>
        <w:tc>
          <w:tcPr>
            <w:tcW w:w="3722" w:type="dxa"/>
          </w:tcPr>
          <w:p w14:paraId="240DBAA8" w14:textId="69BA3522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Common (temporary code = 01)</w:t>
            </w:r>
          </w:p>
        </w:tc>
      </w:tr>
      <w:tr w:rsidR="008E0722" w:rsidRPr="008E0722" w14:paraId="116E5C6F" w14:textId="3DBE7B0D" w:rsidTr="00E26C66">
        <w:tc>
          <w:tcPr>
            <w:tcW w:w="3429" w:type="dxa"/>
          </w:tcPr>
          <w:p w14:paraId="69C2129A" w14:textId="3EAF9578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lastRenderedPageBreak/>
              <w:t>GASTROINTESTINAL DISORDERS</w:t>
            </w:r>
          </w:p>
        </w:tc>
        <w:tc>
          <w:tcPr>
            <w:tcW w:w="2094" w:type="dxa"/>
            <w:hideMark/>
          </w:tcPr>
          <w:p w14:paraId="3033D759" w14:textId="38993CE6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ABDOMINAL PAIN UPPER</w:t>
            </w:r>
          </w:p>
        </w:tc>
        <w:tc>
          <w:tcPr>
            <w:tcW w:w="0" w:type="auto"/>
            <w:hideMark/>
          </w:tcPr>
          <w:p w14:paraId="4FD93D75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10000087</w:t>
            </w:r>
          </w:p>
        </w:tc>
        <w:tc>
          <w:tcPr>
            <w:tcW w:w="3722" w:type="dxa"/>
          </w:tcPr>
          <w:p w14:paraId="4F836828" w14:textId="5EE4036B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5A481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Common (temporary code = 01)</w:t>
            </w:r>
          </w:p>
        </w:tc>
      </w:tr>
      <w:tr w:rsidR="008E0722" w:rsidRPr="008E0722" w14:paraId="47EBF305" w14:textId="7F3F967A" w:rsidTr="00E26C66">
        <w:tc>
          <w:tcPr>
            <w:tcW w:w="3429" w:type="dxa"/>
          </w:tcPr>
          <w:p w14:paraId="0EB0A1EC" w14:textId="7105EF63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GASTROINTESTINAL DISORDERS</w:t>
            </w:r>
          </w:p>
        </w:tc>
        <w:tc>
          <w:tcPr>
            <w:tcW w:w="2094" w:type="dxa"/>
            <w:hideMark/>
          </w:tcPr>
          <w:p w14:paraId="4BC91A1C" w14:textId="55508FFC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DYSPEPSIA</w:t>
            </w:r>
          </w:p>
        </w:tc>
        <w:tc>
          <w:tcPr>
            <w:tcW w:w="0" w:type="auto"/>
            <w:hideMark/>
          </w:tcPr>
          <w:p w14:paraId="7CFB8C8B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10013946</w:t>
            </w:r>
          </w:p>
        </w:tc>
        <w:tc>
          <w:tcPr>
            <w:tcW w:w="3722" w:type="dxa"/>
          </w:tcPr>
          <w:p w14:paraId="457CBF41" w14:textId="6C63FA02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5A481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Common (temporary code = 01)</w:t>
            </w:r>
          </w:p>
        </w:tc>
      </w:tr>
      <w:tr w:rsidR="008E0722" w:rsidRPr="008E0722" w14:paraId="56E8BCBF" w14:textId="5DC2010B" w:rsidTr="00E26C66">
        <w:tc>
          <w:tcPr>
            <w:tcW w:w="3429" w:type="dxa"/>
          </w:tcPr>
          <w:p w14:paraId="2E48CC05" w14:textId="0BBD9E28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NERVOUS SYSTEM DISORDERS</w:t>
            </w:r>
          </w:p>
        </w:tc>
        <w:tc>
          <w:tcPr>
            <w:tcW w:w="2094" w:type="dxa"/>
            <w:hideMark/>
          </w:tcPr>
          <w:p w14:paraId="394393DC" w14:textId="29409960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br/>
              <w:t>HEADACHE</w:t>
            </w:r>
          </w:p>
        </w:tc>
        <w:tc>
          <w:tcPr>
            <w:tcW w:w="0" w:type="auto"/>
            <w:hideMark/>
          </w:tcPr>
          <w:p w14:paraId="708C2893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10019211</w:t>
            </w:r>
          </w:p>
        </w:tc>
        <w:tc>
          <w:tcPr>
            <w:tcW w:w="3722" w:type="dxa"/>
          </w:tcPr>
          <w:p w14:paraId="76AEFA6E" w14:textId="527B0C45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5A481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Common (temporary code = 01)</w:t>
            </w:r>
          </w:p>
        </w:tc>
      </w:tr>
      <w:tr w:rsidR="008E0722" w:rsidRPr="008E0722" w14:paraId="0337FF25" w14:textId="31CA3C55" w:rsidTr="00E26C66">
        <w:tc>
          <w:tcPr>
            <w:tcW w:w="3429" w:type="dxa"/>
          </w:tcPr>
          <w:p w14:paraId="3D76E0DE" w14:textId="04691B4F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SKIN AND SUBCUTANEOUS TISSUE DISORDERS</w:t>
            </w:r>
          </w:p>
        </w:tc>
        <w:tc>
          <w:tcPr>
            <w:tcW w:w="2094" w:type="dxa"/>
            <w:hideMark/>
          </w:tcPr>
          <w:p w14:paraId="264E5B00" w14:textId="39C7B4FB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br/>
              <w:t>URTICARIA</w:t>
            </w:r>
          </w:p>
        </w:tc>
        <w:tc>
          <w:tcPr>
            <w:tcW w:w="0" w:type="auto"/>
            <w:hideMark/>
          </w:tcPr>
          <w:p w14:paraId="2705D6B5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10046735</w:t>
            </w:r>
          </w:p>
        </w:tc>
        <w:tc>
          <w:tcPr>
            <w:tcW w:w="3722" w:type="dxa"/>
          </w:tcPr>
          <w:p w14:paraId="367951C9" w14:textId="5592A27C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5A481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Common (temporary code = 01)</w:t>
            </w:r>
          </w:p>
        </w:tc>
      </w:tr>
      <w:tr w:rsidR="008E0722" w:rsidRPr="008E0722" w14:paraId="3C76718E" w14:textId="67435BBE" w:rsidTr="00E26C66">
        <w:tc>
          <w:tcPr>
            <w:tcW w:w="3429" w:type="dxa"/>
          </w:tcPr>
          <w:p w14:paraId="78C8360E" w14:textId="4F4950B5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INFECTIONS AND INFESTATIONS</w:t>
            </w:r>
          </w:p>
        </w:tc>
        <w:tc>
          <w:tcPr>
            <w:tcW w:w="2094" w:type="dxa"/>
            <w:hideMark/>
          </w:tcPr>
          <w:p w14:paraId="42E0288F" w14:textId="149D7CC4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NASOPHARYNGITIS</w:t>
            </w:r>
          </w:p>
        </w:tc>
        <w:tc>
          <w:tcPr>
            <w:tcW w:w="0" w:type="auto"/>
            <w:hideMark/>
          </w:tcPr>
          <w:p w14:paraId="2C80D329" w14:textId="77777777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E0722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10028810</w:t>
            </w:r>
          </w:p>
        </w:tc>
        <w:tc>
          <w:tcPr>
            <w:tcW w:w="3722" w:type="dxa"/>
          </w:tcPr>
          <w:p w14:paraId="1E236C0E" w14:textId="26616BD0" w:rsidR="008E0722" w:rsidRPr="008E0722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29217C61" w14:textId="4FF51B5E" w:rsidTr="00E26C66">
        <w:tc>
          <w:tcPr>
            <w:tcW w:w="3429" w:type="dxa"/>
          </w:tcPr>
          <w:p w14:paraId="193E2788" w14:textId="4AAA13A2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RESPIRATORY, THORACIC AND MEDIASTINAL DISORDERS</w:t>
            </w:r>
          </w:p>
        </w:tc>
        <w:tc>
          <w:tcPr>
            <w:tcW w:w="2094" w:type="dxa"/>
            <w:hideMark/>
          </w:tcPr>
          <w:p w14:paraId="056B606E" w14:textId="33CEA289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OROPHARYNGEAL PAIN</w:t>
            </w:r>
          </w:p>
        </w:tc>
        <w:tc>
          <w:tcPr>
            <w:tcW w:w="0" w:type="auto"/>
            <w:hideMark/>
          </w:tcPr>
          <w:p w14:paraId="035F1489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10068319</w:t>
            </w:r>
          </w:p>
        </w:tc>
        <w:tc>
          <w:tcPr>
            <w:tcW w:w="3722" w:type="dxa"/>
          </w:tcPr>
          <w:p w14:paraId="0927CD87" w14:textId="1F7EFEDC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0044F350" w14:textId="5704687E" w:rsidTr="00E26C66">
        <w:tc>
          <w:tcPr>
            <w:tcW w:w="3429" w:type="dxa"/>
          </w:tcPr>
          <w:p w14:paraId="2D60ABA9" w14:textId="79C00C8F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RESPIRATORY, THORACIC AND MEDIASTINAL DISORDERS</w:t>
            </w:r>
          </w:p>
        </w:tc>
        <w:tc>
          <w:tcPr>
            <w:tcW w:w="2094" w:type="dxa"/>
            <w:hideMark/>
          </w:tcPr>
          <w:p w14:paraId="22F85DEE" w14:textId="007F4402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RHINORRHOEA</w:t>
            </w:r>
          </w:p>
        </w:tc>
        <w:tc>
          <w:tcPr>
            <w:tcW w:w="0" w:type="auto"/>
            <w:hideMark/>
          </w:tcPr>
          <w:p w14:paraId="2D383E3E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10039101</w:t>
            </w:r>
          </w:p>
        </w:tc>
        <w:tc>
          <w:tcPr>
            <w:tcW w:w="3722" w:type="dxa"/>
          </w:tcPr>
          <w:p w14:paraId="5F29894E" w14:textId="6603F644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29886BC6" w14:textId="578565E1" w:rsidTr="00E26C66">
        <w:tc>
          <w:tcPr>
            <w:tcW w:w="3429" w:type="dxa"/>
          </w:tcPr>
          <w:p w14:paraId="373D51AB" w14:textId="57AEBA91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IMMUNE SYSTEM DISORDERS</w:t>
            </w:r>
          </w:p>
        </w:tc>
        <w:tc>
          <w:tcPr>
            <w:tcW w:w="2094" w:type="dxa"/>
            <w:hideMark/>
          </w:tcPr>
          <w:p w14:paraId="3041FD77" w14:textId="70A64F4E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br/>
              <w:t>HYPERSENSITIVITY</w:t>
            </w:r>
          </w:p>
        </w:tc>
        <w:tc>
          <w:tcPr>
            <w:tcW w:w="0" w:type="auto"/>
            <w:hideMark/>
          </w:tcPr>
          <w:p w14:paraId="6EA58316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10020751</w:t>
            </w:r>
          </w:p>
        </w:tc>
        <w:tc>
          <w:tcPr>
            <w:tcW w:w="3722" w:type="dxa"/>
          </w:tcPr>
          <w:p w14:paraId="33A23BD6" w14:textId="410B7F52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6A8C50C2" w14:textId="71DE4513" w:rsidTr="00E26C66">
        <w:tc>
          <w:tcPr>
            <w:tcW w:w="3429" w:type="dxa"/>
          </w:tcPr>
          <w:p w14:paraId="40E53F1C" w14:textId="653826D0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GASTROINTESTINAL DISORDERS</w:t>
            </w:r>
          </w:p>
        </w:tc>
        <w:tc>
          <w:tcPr>
            <w:tcW w:w="2094" w:type="dxa"/>
            <w:hideMark/>
          </w:tcPr>
          <w:p w14:paraId="5624563A" w14:textId="4672E5C3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DIARRHOEA</w:t>
            </w:r>
          </w:p>
        </w:tc>
        <w:tc>
          <w:tcPr>
            <w:tcW w:w="0" w:type="auto"/>
            <w:hideMark/>
          </w:tcPr>
          <w:p w14:paraId="4B0CD965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10012735</w:t>
            </w:r>
          </w:p>
        </w:tc>
        <w:tc>
          <w:tcPr>
            <w:tcW w:w="3722" w:type="dxa"/>
          </w:tcPr>
          <w:p w14:paraId="770CDCEA" w14:textId="712046DA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30DC878A" w14:textId="4383F651" w:rsidTr="00E26C66">
        <w:tc>
          <w:tcPr>
            <w:tcW w:w="3429" w:type="dxa"/>
          </w:tcPr>
          <w:p w14:paraId="2AD8EB2A" w14:textId="3635E71C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GASTROINTESTINAL DISORDERS</w:t>
            </w:r>
          </w:p>
        </w:tc>
        <w:tc>
          <w:tcPr>
            <w:tcW w:w="2094" w:type="dxa"/>
            <w:hideMark/>
          </w:tcPr>
          <w:p w14:paraId="2D1FB8A5" w14:textId="35B2E3C6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VOMITING</w:t>
            </w:r>
          </w:p>
        </w:tc>
        <w:tc>
          <w:tcPr>
            <w:tcW w:w="0" w:type="auto"/>
            <w:hideMark/>
          </w:tcPr>
          <w:p w14:paraId="34FB67EC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10047700</w:t>
            </w:r>
          </w:p>
        </w:tc>
        <w:tc>
          <w:tcPr>
            <w:tcW w:w="3722" w:type="dxa"/>
          </w:tcPr>
          <w:p w14:paraId="388D5E43" w14:textId="7E4AFFC5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6921CCC8" w14:textId="22660C34" w:rsidTr="00E26C66">
        <w:tc>
          <w:tcPr>
            <w:tcW w:w="3429" w:type="dxa"/>
          </w:tcPr>
          <w:p w14:paraId="6228403E" w14:textId="4CEFE614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GASTROINTESTINAL DISORDERS</w:t>
            </w:r>
          </w:p>
        </w:tc>
        <w:tc>
          <w:tcPr>
            <w:tcW w:w="2094" w:type="dxa"/>
            <w:hideMark/>
          </w:tcPr>
          <w:p w14:paraId="6C672D56" w14:textId="5EC261A1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NAUSEA</w:t>
            </w:r>
          </w:p>
        </w:tc>
        <w:tc>
          <w:tcPr>
            <w:tcW w:w="0" w:type="auto"/>
            <w:hideMark/>
          </w:tcPr>
          <w:p w14:paraId="4D4324B1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10028813</w:t>
            </w:r>
          </w:p>
        </w:tc>
        <w:tc>
          <w:tcPr>
            <w:tcW w:w="3722" w:type="dxa"/>
          </w:tcPr>
          <w:p w14:paraId="3FEEF4E4" w14:textId="1E431C09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  <w:tr w:rsidR="008E0722" w:rsidRPr="008134E5" w14:paraId="1B67D1A4" w14:textId="4D35AC0A" w:rsidTr="00E26C66">
        <w:tc>
          <w:tcPr>
            <w:tcW w:w="3429" w:type="dxa"/>
          </w:tcPr>
          <w:p w14:paraId="46A83AD1" w14:textId="2A5A5CFE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NERVOUS SYSTEM DISORDERS</w:t>
            </w:r>
          </w:p>
        </w:tc>
        <w:tc>
          <w:tcPr>
            <w:tcW w:w="2094" w:type="dxa"/>
            <w:hideMark/>
          </w:tcPr>
          <w:p w14:paraId="2C58A672" w14:textId="3D3573CC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DIZZINESS</w:t>
            </w:r>
          </w:p>
        </w:tc>
        <w:tc>
          <w:tcPr>
            <w:tcW w:w="0" w:type="auto"/>
            <w:hideMark/>
          </w:tcPr>
          <w:p w14:paraId="5FF63695" w14:textId="77777777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8134E5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10013573</w:t>
            </w:r>
          </w:p>
        </w:tc>
        <w:tc>
          <w:tcPr>
            <w:tcW w:w="3722" w:type="dxa"/>
          </w:tcPr>
          <w:p w14:paraId="1F15D3FA" w14:textId="0F97354D" w:rsidR="008E0722" w:rsidRPr="008134E5" w:rsidRDefault="008E0722" w:rsidP="008E0722">
            <w:pPr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</w:pPr>
            <w:r w:rsidRPr="00C238DD">
              <w:rPr>
                <w:rFonts w:ascii="Calibri" w:eastAsia="Times New Roman" w:hAnsi="Calibri" w:cs="Calibri"/>
                <w:color w:val="363636"/>
                <w:sz w:val="24"/>
                <w:szCs w:val="24"/>
              </w:rPr>
              <w:t>Uncommon (temporary code = 02)</w:t>
            </w:r>
          </w:p>
        </w:tc>
      </w:tr>
    </w:tbl>
    <w:p w14:paraId="7DDB131C" w14:textId="77777777" w:rsidR="008134E5" w:rsidRDefault="008134E5" w:rsidP="008134E5"/>
    <w:p w14:paraId="4247AF80" w14:textId="77777777" w:rsidR="002F7AD9" w:rsidRDefault="002F7AD9" w:rsidP="002F7AD9">
      <w:pPr>
        <w:pStyle w:val="Heading1"/>
      </w:pPr>
      <w:r>
        <w:t>Binary</w:t>
      </w:r>
    </w:p>
    <w:p w14:paraId="3107EA75" w14:textId="1631FD73" w:rsidR="008E0722" w:rsidRDefault="008E0722" w:rsidP="002F7AD9">
      <w:r w:rsidRPr="008E0722">
        <w:rPr>
          <w:highlight w:val="yellow"/>
        </w:rPr>
        <w:t>Should we use pictures from the instructions for use? E.g., page 70 of the SmPC.</w:t>
      </w:r>
    </w:p>
    <w:p w14:paraId="2007D0B1" w14:textId="368EC57E" w:rsidR="002F7AD9" w:rsidRDefault="00957E54" w:rsidP="00957E54">
      <w:pPr>
        <w:pStyle w:val="Heading1"/>
      </w:pPr>
      <w:r>
        <w:t>Document Reference</w:t>
      </w:r>
    </w:p>
    <w:p w14:paraId="1E3B40C7" w14:textId="05C9904C" w:rsidR="00957E54" w:rsidRDefault="00957E54" w:rsidP="002F7AD9">
      <w:r w:rsidRPr="00957E54">
        <w:rPr>
          <w:highlight w:val="yellow"/>
        </w:rPr>
        <w:t>I believe this is the resource we will use for the video. But we’ll have to confirm.</w:t>
      </w:r>
    </w:p>
    <w:p w14:paraId="43D600EF" w14:textId="77777777" w:rsidR="00762E37" w:rsidRDefault="006C12F7"/>
    <w:sectPr w:rsidR="0076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4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9"/>
    <w:rsid w:val="000B2DB8"/>
    <w:rsid w:val="002F7AD9"/>
    <w:rsid w:val="006C12F7"/>
    <w:rsid w:val="00744749"/>
    <w:rsid w:val="008134E5"/>
    <w:rsid w:val="00832D21"/>
    <w:rsid w:val="008E0722"/>
    <w:rsid w:val="00957E54"/>
    <w:rsid w:val="00A30952"/>
    <w:rsid w:val="00C5567D"/>
    <w:rsid w:val="00CD0DA9"/>
    <w:rsid w:val="00E26C66"/>
    <w:rsid w:val="00F4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8D8"/>
  <w15:chartTrackingRefBased/>
  <w15:docId w15:val="{E6B572C2-E2D8-4898-A02C-A5317433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D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AD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A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A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A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A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A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A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A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A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A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A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A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A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A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1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07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E07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l7-eu/gravitate-health/tree/master/input/fsh/Suliqua-instances-en" TargetMode="External"/><Relationship Id="rId3" Type="http://schemas.openxmlformats.org/officeDocument/2006/relationships/styles" Target="styles.xml"/><Relationship Id="rId7" Type="http://schemas.openxmlformats.org/officeDocument/2006/relationships/hyperlink" Target="http://hl7.org/fhir/2021May/resource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ma.europa.eu/en/documents/product-information/suliqua-epar-product-information_en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9576-50A4-4BE6-9E8A-A5826A88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Craig</dc:creator>
  <cp:keywords/>
  <dc:description/>
  <cp:lastModifiedBy>Anderson, Craig</cp:lastModifiedBy>
  <cp:revision>3</cp:revision>
  <dcterms:created xsi:type="dcterms:W3CDTF">2021-12-16T21:39:00Z</dcterms:created>
  <dcterms:modified xsi:type="dcterms:W3CDTF">2021-12-17T13:21:00Z</dcterms:modified>
</cp:coreProperties>
</file>