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328BA" w14:textId="4DE79012" w:rsidR="005E658D" w:rsidRDefault="005E658D">
      <w:r>
        <w:t xml:space="preserve">After serving in the military many veterans suffer from physical, mental and emotional trauma. For veterans in southeastern Ohio, traditional treatments prove useful and so might higher education. </w:t>
      </w:r>
    </w:p>
    <w:sectPr w:rsidR="005E658D" w:rsidSect="008A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8D"/>
    <w:rsid w:val="005E658D"/>
    <w:rsid w:val="008A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8BA2D"/>
  <w15:chartTrackingRefBased/>
  <w15:docId w15:val="{5F1D8BBF-5305-184E-B39C-08911EA5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Brosovich, Christina</dc:creator>
  <cp:keywords/>
  <dc:description/>
  <cp:lastModifiedBy>Brosovich, Christina</cp:lastModifiedBy>
  <cp:revision>1</cp:revision>
  <dcterms:created xsi:type="dcterms:W3CDTF">2020-04-10T18:25:00Z</dcterms:created>
  <dcterms:modified xsi:type="dcterms:W3CDTF">2020-04-10T18:27:00Z</dcterms:modified>
</cp:coreProperties>
</file>