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17CC90">
      <w:pPr>
        <w:pStyle w:val="25"/>
        <w:spacing w:before="120" w:beforeAutospacing="0" w:after="120" w:afterAutospacing="0"/>
        <w:jc w:val="center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color w:val="000000"/>
          <w:sz w:val="18"/>
          <w:szCs w:val="18"/>
        </w:rPr>
        <w:t>ДОГОВОР №</w:t>
      </w:r>
      <w:r>
        <w:rPr>
          <w:rFonts w:ascii="Arial" w:hAnsi="Arial" w:cs="Arial"/>
          <w:b/>
          <w:bCs/>
          <w:color w:val="000000"/>
          <w:sz w:val="18"/>
          <w:szCs w:val="18"/>
          <w:highlight w:val="yellow"/>
        </w:rPr>
        <w:t>{{contract_number}}</w:t>
      </w:r>
    </w:p>
    <w:p w14:paraId="256D7099">
      <w:pPr>
        <w:pStyle w:val="25"/>
        <w:spacing w:before="120" w:beforeAutospacing="0" w:after="120" w:afterAutospacing="0"/>
        <w:jc w:val="center"/>
        <w:rPr>
          <w:rStyle w:val="65"/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color w:val="000000"/>
          <w:sz w:val="18"/>
          <w:szCs w:val="18"/>
        </w:rPr>
        <w:t xml:space="preserve">на оказание услуг по разработке, адаптации и модификации программных продуктов </w:t>
      </w:r>
      <w:r>
        <w:rPr>
          <w:rFonts w:ascii="Arial" w:hAnsi="Arial" w:cs="Arial"/>
          <w:b/>
          <w:bCs/>
          <w:color w:val="000000"/>
          <w:sz w:val="18"/>
          <w:szCs w:val="18"/>
        </w:rPr>
        <w:fldChar w:fldCharType="begin"/>
      </w:r>
      <w:r>
        <w:rPr>
          <w:rFonts w:ascii="Arial" w:hAnsi="Arial" w:cs="Arial"/>
          <w:b/>
          <w:bCs/>
          <w:color w:val="000000"/>
          <w:sz w:val="18"/>
          <w:szCs w:val="18"/>
        </w:rPr>
        <w:instrText xml:space="preserve"> MERGEFIELD Продукт \* MERGEFORMAT </w:instrText>
      </w:r>
      <w:r>
        <w:rPr>
          <w:rFonts w:ascii="Arial" w:hAnsi="Arial" w:cs="Arial"/>
          <w:b/>
          <w:bCs/>
          <w:color w:val="000000"/>
          <w:sz w:val="18"/>
          <w:szCs w:val="18"/>
        </w:rPr>
        <w:fldChar w:fldCharType="separate"/>
      </w:r>
      <w:r>
        <w:rPr>
          <w:rFonts w:ascii="Arial" w:hAnsi="Arial" w:cs="Arial"/>
          <w:b/>
          <w:bCs/>
          <w:color w:val="000000"/>
          <w:sz w:val="18"/>
          <w:szCs w:val="18"/>
        </w:rPr>
        <w:t>«</w:t>
      </w:r>
      <w:r>
        <w:rPr>
          <w:rFonts w:ascii="Arial" w:hAnsi="Arial" w:cs="Arial"/>
          <w:b/>
          <w:bCs/>
          <w:color w:val="000000"/>
          <w:sz w:val="18"/>
          <w:szCs w:val="18"/>
          <w:highlight w:val="green"/>
        </w:rPr>
        <w:t>Битрикс24</w:t>
      </w:r>
      <w:r>
        <w:rPr>
          <w:rFonts w:ascii="Arial" w:hAnsi="Arial" w:cs="Arial"/>
          <w:b/>
          <w:bCs/>
          <w:color w:val="000000"/>
          <w:sz w:val="18"/>
          <w:szCs w:val="18"/>
        </w:rPr>
        <w:t>»</w:t>
      </w:r>
      <w:r>
        <w:rPr>
          <w:rFonts w:ascii="Arial" w:hAnsi="Arial" w:cs="Arial"/>
          <w:b/>
          <w:bCs/>
          <w:color w:val="000000"/>
          <w:sz w:val="18"/>
          <w:szCs w:val="18"/>
        </w:rPr>
        <w:fldChar w:fldCharType="end"/>
      </w:r>
    </w:p>
    <w:tbl>
      <w:tblPr>
        <w:tblStyle w:val="27"/>
        <w:tblW w:w="0" w:type="auto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97"/>
        <w:gridCol w:w="5218"/>
      </w:tblGrid>
      <w:tr w14:paraId="3F99060B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6" w:hRule="atLeast"/>
        </w:trPr>
        <w:tc>
          <w:tcPr>
            <w:tcW w:w="5378" w:type="dxa"/>
          </w:tcPr>
          <w:p w14:paraId="2132A0D2">
            <w:pPr>
              <w:spacing w:before="120" w:after="120"/>
              <w:rPr>
                <w:rFonts w:ascii="Arial" w:hAnsi="Arial" w:cs="Arial" w:eastAsiaTheme="majorEastAsia"/>
                <w:color w:val="000000"/>
                <w:sz w:val="18"/>
                <w:szCs w:val="18"/>
                <w:lang w:val="en-US" w:bidi="en-US"/>
              </w:rPr>
            </w:pPr>
            <w:r>
              <w:rPr>
                <w:rFonts w:ascii="Arial" w:hAnsi="Arial" w:cs="Arial" w:eastAsiaTheme="majorEastAsia"/>
                <w:sz w:val="18"/>
                <w:szCs w:val="18"/>
                <w:highlight w:val="yellow"/>
                <w:lang w:val="ru-RU" w:bidi="en-US"/>
              </w:rPr>
              <w:t>{{contract_city}}</w:t>
            </w:r>
          </w:p>
        </w:tc>
        <w:tc>
          <w:tcPr>
            <w:tcW w:w="5378" w:type="dxa"/>
          </w:tcPr>
          <w:p w14:paraId="6E712160">
            <w:pPr>
              <w:spacing w:before="120" w:after="120"/>
              <w:jc w:val="right"/>
              <w:rPr>
                <w:rFonts w:ascii="Arial" w:hAnsi="Arial" w:cs="Arial" w:eastAsiaTheme="majorEastAsia"/>
                <w:color w:val="000000"/>
                <w:sz w:val="18"/>
                <w:szCs w:val="18"/>
                <w:lang w:val="ru-RU" w:bidi="en-US"/>
              </w:rPr>
            </w:pPr>
            <w:r>
              <w:rPr>
                <w:rFonts w:ascii="Arial" w:hAnsi="Arial" w:cs="Arial" w:eastAsiaTheme="majorEastAsia"/>
                <w:color w:val="000000"/>
                <w:sz w:val="18"/>
                <w:szCs w:val="18"/>
                <w:highlight w:val="yellow"/>
                <w:lang w:val="ru-RU" w:bidi="en-US"/>
              </w:rPr>
              <w:t>{{contract_date_text}}</w:t>
            </w:r>
          </w:p>
        </w:tc>
      </w:tr>
    </w:tbl>
    <w:p w14:paraId="59082DE6">
      <w:pPr>
        <w:pStyle w:val="54"/>
        <w:numPr>
          <w:ilvl w:val="0"/>
          <w:numId w:val="0"/>
        </w:numPr>
        <w:shd w:val="clear" w:color="auto" w:fill="auto"/>
        <w:spacing w:before="120" w:after="120"/>
        <w:jc w:val="left"/>
        <w:rPr>
          <w:rFonts w:ascii="Arial" w:hAnsi="Arial" w:cs="Arial" w:eastAsiaTheme="minorEastAsia"/>
          <w:b w:val="0"/>
          <w:bCs w:val="0"/>
          <w:caps w:val="0"/>
          <w:kern w:val="0"/>
          <w:szCs w:val="18"/>
          <w:lang w:eastAsia="ru-RU"/>
        </w:rPr>
      </w:pPr>
    </w:p>
    <w:p w14:paraId="4224F628">
      <w:pPr>
        <w:pStyle w:val="54"/>
        <w:numPr>
          <w:ilvl w:val="0"/>
          <w:numId w:val="0"/>
        </w:numPr>
        <w:shd w:val="clear" w:color="auto" w:fill="auto"/>
        <w:spacing w:before="120" w:after="120"/>
        <w:jc w:val="both"/>
        <w:rPr>
          <w:rFonts w:ascii="Arial" w:hAnsi="Arial" w:cs="Arial" w:eastAsiaTheme="minorEastAsia"/>
          <w:b w:val="0"/>
          <w:bCs w:val="0"/>
          <w:caps w:val="0"/>
          <w:kern w:val="0"/>
          <w:szCs w:val="18"/>
          <w:lang w:eastAsia="ru-RU"/>
        </w:rPr>
      </w:pPr>
      <w:bookmarkStart w:id="0" w:name="_Hlk31149748"/>
      <w:bookmarkEnd w:id="0"/>
      <w:bookmarkStart w:id="1" w:name="_Hlk31149729"/>
      <w:bookmarkEnd w:id="1"/>
      <w:r>
        <w:rPr>
          <w:rFonts w:ascii="Arial" w:hAnsi="Arial" w:cs="Arial" w:eastAsiaTheme="minorEastAsia"/>
          <w:b/>
          <w:bCs/>
          <w:caps w:val="0"/>
          <w:kern w:val="0"/>
          <w:szCs w:val="18"/>
          <w:lang w:eastAsia="ru-RU"/>
        </w:rPr>
        <w:t>ООО "Юнитех"</w:t>
      </w:r>
      <w:r>
        <w:rPr>
          <w:rFonts w:ascii="Arial" w:hAnsi="Arial" w:cs="Arial" w:eastAsiaTheme="minorEastAsia"/>
          <w:b w:val="0"/>
          <w:bCs w:val="0"/>
          <w:caps w:val="0"/>
          <w:kern w:val="0"/>
          <w:szCs w:val="18"/>
          <w:lang w:eastAsia="ru-RU"/>
        </w:rPr>
        <w:t xml:space="preserve"> именуемое в дальнейшем «Исполнитель», в лице Генерального директора </w:t>
      </w:r>
      <w:r>
        <w:rPr>
          <w:rFonts w:ascii="Arial" w:hAnsi="Arial" w:cs="Arial" w:eastAsiaTheme="minorEastAsia"/>
          <w:b/>
          <w:bCs/>
          <w:caps w:val="0"/>
          <w:kern w:val="0"/>
          <w:szCs w:val="18"/>
          <w:lang w:eastAsia="ru-RU"/>
        </w:rPr>
        <w:t>Беликова Никиты Сергеевича</w:t>
      </w:r>
      <w:r>
        <w:rPr>
          <w:rFonts w:ascii="Arial" w:hAnsi="Arial" w:cs="Arial" w:eastAsiaTheme="minorEastAsia"/>
          <w:b w:val="0"/>
          <w:bCs w:val="0"/>
          <w:caps w:val="0"/>
          <w:kern w:val="0"/>
          <w:szCs w:val="18"/>
          <w:lang w:eastAsia="ru-RU"/>
        </w:rPr>
        <w:t xml:space="preserve">, действующего на основании Устава, с одной стороны, и {{client_name}},  именуемое в дальнейшем «Заказчик», в лице {{client_signer_position_genitive}} </w:t>
      </w:r>
      <w:r>
        <w:rPr>
          <w:rFonts w:ascii="Arial" w:hAnsi="Arial" w:cs="Arial" w:eastAsiaTheme="minorEastAsia"/>
          <w:b/>
          <w:bCs/>
          <w:caps w:val="0"/>
          <w:kern w:val="0"/>
          <w:szCs w:val="18"/>
          <w:lang w:eastAsia="ru-RU"/>
        </w:rPr>
        <w:t>{{client_signer_genitive_name}}</w:t>
      </w:r>
      <w:r>
        <w:rPr>
          <w:rFonts w:ascii="Arial" w:hAnsi="Arial" w:cs="Arial" w:eastAsiaTheme="minorEastAsia"/>
          <w:b w:val="0"/>
          <w:bCs w:val="0"/>
          <w:caps w:val="0"/>
          <w:kern w:val="0"/>
          <w:szCs w:val="18"/>
          <w:lang w:eastAsia="ru-RU"/>
        </w:rPr>
        <w:t>, действующего на основании Устава, с другой стороны, совместно именуемые «Стороны», а по отдельности «Сторона», заключили настоящий Договор оказания услуг по разработке и внедрению программных решений на базе “Битрикс24” (далее - «Договор») о нижеследующем:</w:t>
      </w:r>
    </w:p>
    <w:p w14:paraId="71676C3E">
      <w:pPr>
        <w:pStyle w:val="25"/>
        <w:spacing w:before="120" w:beforeAutospacing="0" w:after="120" w:afterAutospacing="0"/>
        <w:jc w:val="both"/>
        <w:rPr>
          <w:rFonts w:ascii="Arial" w:hAnsi="Arial" w:cs="Arial"/>
          <w:color w:val="000000"/>
          <w:sz w:val="18"/>
          <w:szCs w:val="18"/>
        </w:rPr>
      </w:pPr>
    </w:p>
    <w:p w14:paraId="366BBC7E">
      <w:pPr>
        <w:pStyle w:val="54"/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Предмет договора</w:t>
      </w:r>
    </w:p>
    <w:p w14:paraId="10719A79">
      <w:pPr>
        <w:pStyle w:val="54"/>
        <w:numPr>
          <w:ilvl w:val="0"/>
          <w:numId w:val="0"/>
        </w:numPr>
        <w:shd w:val="clear" w:color="auto" w:fill="auto"/>
        <w:spacing w:before="120" w:after="120"/>
        <w:jc w:val="both"/>
        <w:rPr>
          <w:rFonts w:ascii="Arial" w:hAnsi="Arial" w:cs="Arial"/>
          <w:szCs w:val="18"/>
        </w:rPr>
      </w:pPr>
    </w:p>
    <w:p w14:paraId="59D2A8D4">
      <w:pPr>
        <w:spacing w:before="120" w:after="120"/>
        <w:ind w:firstLine="720"/>
        <w:jc w:val="both"/>
        <w:rPr>
          <w:rFonts w:ascii="Arial" w:hAnsi="Arial" w:cs="Arial"/>
          <w:sz w:val="18"/>
          <w:szCs w:val="18"/>
        </w:rPr>
      </w:pPr>
      <w:bookmarkStart w:id="2" w:name="_Hlk22312114"/>
      <w:r>
        <w:rPr>
          <w:rFonts w:ascii="Arial" w:hAnsi="Arial" w:cs="Arial"/>
          <w:sz w:val="18"/>
          <w:szCs w:val="18"/>
        </w:rPr>
        <w:t>1.1. Предметом настоящего Договора является оказание Исполнителем услуг Заказчику по настройке, адаптации, доработке и модификации функционала системы «</w:t>
      </w:r>
      <w:r>
        <w:rPr>
          <w:rFonts w:ascii="Arial" w:hAnsi="Arial" w:cs="Arial"/>
          <w:sz w:val="18"/>
          <w:szCs w:val="18"/>
          <w:highlight w:val="green"/>
        </w:rPr>
        <w:t>Битрикс24</w:t>
      </w:r>
      <w:r>
        <w:rPr>
          <w:rFonts w:ascii="Arial" w:hAnsi="Arial" w:cs="Arial"/>
          <w:sz w:val="18"/>
          <w:szCs w:val="18"/>
        </w:rPr>
        <w:t>», а также созданию дополнительных модулей и интеграций, необходимых для обеспечения работы программного продукта. Услуги оказываются Исполнителем без передачи исключительных прав на программный код, скрипты, конфигурации и иные результаты интеллектуальной деятельности. Форма, перечень, объём, стоимость и сроки оказания услуг определяются в Приложениях к настоящему Договору, являющихся его неотъемлемой частью.</w:t>
      </w:r>
    </w:p>
    <w:p w14:paraId="6438A4BB">
      <w:pPr>
        <w:spacing w:before="120" w:after="120"/>
        <w:ind w:firstLine="72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1.2. Стоимость лицензии на программные продукты на платформе «</w:t>
      </w:r>
      <w:r>
        <w:rPr>
          <w:rFonts w:ascii="Arial" w:hAnsi="Arial" w:cs="Arial"/>
          <w:sz w:val="18"/>
          <w:szCs w:val="18"/>
          <w:highlight w:val="green"/>
        </w:rPr>
        <w:t>Битр</w:t>
      </w:r>
      <w:bookmarkStart w:id="4" w:name="_GoBack"/>
      <w:bookmarkEnd w:id="4"/>
      <w:r>
        <w:rPr>
          <w:rFonts w:ascii="Arial" w:hAnsi="Arial" w:cs="Arial"/>
          <w:sz w:val="18"/>
          <w:szCs w:val="18"/>
          <w:highlight w:val="green"/>
        </w:rPr>
        <w:t>икс24</w:t>
      </w:r>
      <w:r>
        <w:rPr>
          <w:rFonts w:ascii="Arial" w:hAnsi="Arial" w:cs="Arial"/>
          <w:sz w:val="18"/>
          <w:szCs w:val="18"/>
        </w:rPr>
        <w:t>» не включается в стоимость услуг по настоящему Договору и оплачивается Заказчиком самостоятельно либо по отдельному договору/счёту с правообладателем или партнёром-вендором.</w:t>
      </w:r>
    </w:p>
    <w:p w14:paraId="42EAD66D">
      <w:pPr>
        <w:spacing w:before="120" w:after="120"/>
        <w:ind w:firstLine="72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1.3. Все результаты работ, созданные Исполнителем в ходе исполнения настоящего Договора (включая, но не ограничиваясь: программные модули, сценарии автоматизации, бизнес-процессы, интеграции, скрипты, шаблоны, интерфейсы, отчёты, схемы и базы данных), являются результатом интеллектуальной деятельности Исполнителя. Исключительные права на указанные результаты принадлежат Исполнителю, если иное прямо не установлено письменным соглашением Сторон.</w:t>
      </w:r>
    </w:p>
    <w:p w14:paraId="228C28C6">
      <w:pPr>
        <w:spacing w:before="120" w:after="120"/>
        <w:ind w:firstLine="113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1.3.1. Заказчику предоставляется ограниченное неисключительное право использовать результаты работ исключительно в целях функционирования и эксплуатации внедрённой системы в рамках своей организации. Передача, распространение, копирование, продажа или иное использование результатов работ вне рамок настоящего Договора без письменного согласия Исполнителя не допускаются.</w:t>
      </w:r>
    </w:p>
    <w:p w14:paraId="0E1AFA94">
      <w:pPr>
        <w:spacing w:before="120" w:after="120"/>
        <w:ind w:firstLine="113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1.3.2. Исполнитель вправе использовать созданные им решения, элементы кода и наработки (в том числе универсальные модули и шаблоны) при выполнении других проектов, если такие решения не содержат конфиденциальной информации Заказчика.</w:t>
      </w:r>
    </w:p>
    <w:p w14:paraId="3A3089D1">
      <w:pPr>
        <w:spacing w:before="120" w:after="120"/>
        <w:ind w:firstLine="113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1.3.3. Настоящий Договор не является лицензионным соглашением в смысле ст. 1235 ГК РФ и регулируется положениями гл. 37 и 39 ГК РФ (договор подряда и оказания услуг).</w:t>
      </w:r>
    </w:p>
    <w:p w14:paraId="787C6632">
      <w:pPr>
        <w:spacing w:before="120" w:after="120"/>
        <w:ind w:firstLine="113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1.3.4. Настоящий Договор является договором возмездного оказания услуг с элементами подряда.</w:t>
      </w:r>
      <w:r>
        <w:rPr>
          <w:rFonts w:ascii="Arial" w:hAnsi="Arial" w:cs="Arial"/>
          <w:sz w:val="18"/>
          <w:szCs w:val="18"/>
        </w:rPr>
        <w:br w:type="textWrapping"/>
      </w:r>
      <w:r>
        <w:rPr>
          <w:rFonts w:ascii="Arial" w:hAnsi="Arial" w:cs="Arial"/>
          <w:sz w:val="18"/>
          <w:szCs w:val="18"/>
        </w:rPr>
        <w:t>Результаты услуг предоставляются в цифровой форме (электронные файлы, акты, отчёты, доступы в систему «</w:t>
      </w:r>
      <w:r>
        <w:rPr>
          <w:rFonts w:ascii="Arial" w:hAnsi="Arial" w:cs="Arial"/>
          <w:sz w:val="18"/>
          <w:szCs w:val="18"/>
          <w:highlight w:val="green"/>
        </w:rPr>
        <w:t>Битрикс24</w:t>
      </w:r>
      <w:r>
        <w:rPr>
          <w:rFonts w:ascii="Arial" w:hAnsi="Arial" w:cs="Arial"/>
          <w:sz w:val="18"/>
          <w:szCs w:val="18"/>
        </w:rPr>
        <w:t>»), что признаётся надлежащей формой их передачи.</w:t>
      </w:r>
    </w:p>
    <w:p w14:paraId="27588BF9">
      <w:pPr>
        <w:spacing w:before="120" w:after="120"/>
        <w:ind w:firstLine="72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1.4. Исполнитель оказывает услуги по настройке, адаптации и модификации системы «</w:t>
      </w:r>
      <w:r>
        <w:rPr>
          <w:rFonts w:ascii="Arial" w:hAnsi="Arial" w:cs="Arial"/>
          <w:sz w:val="18"/>
          <w:szCs w:val="18"/>
          <w:highlight w:val="green"/>
        </w:rPr>
        <w:t>Битрикс24</w:t>
      </w:r>
      <w:r>
        <w:rPr>
          <w:rFonts w:ascii="Arial" w:hAnsi="Arial" w:cs="Arial"/>
          <w:sz w:val="18"/>
          <w:szCs w:val="18"/>
        </w:rPr>
        <w:t>», но не несёт ответственности за работу самого программного продукта, разработанного и поддерживаемого правообладателем. Исполнитель не отвечает за ошибки, сбои, снижение производительности, несовместимость модулей или иных компонентов системы, возникшие в результате: обновлений или изменений программного кода платформы «</w:t>
      </w:r>
      <w:r>
        <w:rPr>
          <w:rFonts w:ascii="Arial" w:hAnsi="Arial" w:cs="Arial"/>
          <w:sz w:val="18"/>
          <w:szCs w:val="18"/>
          <w:highlight w:val="green"/>
        </w:rPr>
        <w:t>Битрикс24</w:t>
      </w:r>
      <w:r>
        <w:rPr>
          <w:rFonts w:ascii="Arial" w:hAnsi="Arial" w:cs="Arial"/>
          <w:sz w:val="18"/>
          <w:szCs w:val="18"/>
        </w:rPr>
        <w:t>» со стороны правообладателя; сбоев на стороне хостинга, серверного окружения или инфраструктуры Заказчика; действий третьих лиц, включая подрядчиков или сотрудников Заказчика, имеющих доступ к системе; некорректной эксплуатации системы Заказчиком.</w:t>
      </w:r>
    </w:p>
    <w:p w14:paraId="730AB446">
      <w:pPr>
        <w:spacing w:before="120" w:after="120"/>
        <w:ind w:firstLine="113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1.4.1. Исполнитель не несёт ответственности за работоспособность сторонних модулей, приложений или интеграций, разработанных третьими лицами и подключённых к системе по инициативе Заказчика.</w:t>
      </w:r>
    </w:p>
    <w:p w14:paraId="25780A53">
      <w:pPr>
        <w:spacing w:before="120" w:after="120"/>
        <w:ind w:firstLine="113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1.4.2. Исполнитель гарантирует исправление ошибок и сбоев только в рамках собственных разработок и доработок, выполненных по настоящему Договору, и в объёме, предусмотренном согласованными Приложениями или техническим заданием.</w:t>
      </w:r>
    </w:p>
    <w:p w14:paraId="28A9AC97">
      <w:pPr>
        <w:spacing w:before="120" w:after="120"/>
        <w:ind w:firstLine="113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1.4.3. Настоящий пункт не ограничивает обязанность Исполнителя обеспечивать надлежащее качество собственных доработок и их совместимость с текущей версией платформы «</w:t>
      </w:r>
      <w:r>
        <w:rPr>
          <w:rFonts w:ascii="Arial" w:hAnsi="Arial" w:cs="Arial"/>
          <w:sz w:val="18"/>
          <w:szCs w:val="18"/>
          <w:highlight w:val="green"/>
        </w:rPr>
        <w:t>Битрикс24</w:t>
      </w:r>
      <w:r>
        <w:rPr>
          <w:rFonts w:ascii="Arial" w:hAnsi="Arial" w:cs="Arial"/>
          <w:sz w:val="18"/>
          <w:szCs w:val="18"/>
        </w:rPr>
        <w:t>» на момент завершения работ.</w:t>
      </w:r>
    </w:p>
    <w:p w14:paraId="4A2EC362">
      <w:pPr>
        <w:spacing w:before="120" w:after="120"/>
        <w:rPr>
          <w:rFonts w:ascii="Arial" w:hAnsi="Arial" w:cs="Arial"/>
          <w:sz w:val="18"/>
          <w:szCs w:val="18"/>
        </w:rPr>
      </w:pPr>
    </w:p>
    <w:p w14:paraId="07CE1257">
      <w:pPr>
        <w:spacing w:before="120" w:after="120"/>
        <w:rPr>
          <w:rFonts w:ascii="Arial" w:hAnsi="Arial" w:cs="Arial"/>
          <w:sz w:val="18"/>
          <w:szCs w:val="18"/>
        </w:rPr>
      </w:pPr>
    </w:p>
    <w:bookmarkEnd w:id="2"/>
    <w:p w14:paraId="14545B48">
      <w:pPr>
        <w:pStyle w:val="54"/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Права и обязанности сторон</w:t>
      </w:r>
    </w:p>
    <w:p w14:paraId="7960959F">
      <w:pPr>
        <w:pStyle w:val="35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  <w:bookmarkStart w:id="3" w:name="_Hlk22312184"/>
    </w:p>
    <w:p w14:paraId="76A29C37">
      <w:pPr>
        <w:pStyle w:val="35"/>
        <w:numPr>
          <w:ilvl w:val="0"/>
          <w:numId w:val="0"/>
        </w:numPr>
        <w:tabs>
          <w:tab w:val="left" w:pos="426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2.1 Исполнитель обязуется:</w:t>
      </w:r>
    </w:p>
    <w:p w14:paraId="618FB88C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2.1.1 Исполнитель обязуется назначить из числа своих сотрудников лицо, ответственное за решение с Заказчиком оперативных вопросов, возникающих в процессе исполнения обязательств по настоящему Договору, указав такое лицо в соответствующем Приложении №1. Замена ответственного лица Исполнителя допускается путем уведомления Заказчика в письменной или электронной форме без необходимости заключения дополнительного соглашения.</w:t>
      </w:r>
    </w:p>
    <w:p w14:paraId="352E92A1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2.1.2 Исполнитель обязуется оказать Заказчику услуги в форме, сроки, объеме и на условиях, указанных в Приложениях к настоящему Договору, в соответствии с предметом и ограничениями, определёнными пунктами 1.1–1.4 настоящего Договора.</w:t>
      </w:r>
    </w:p>
    <w:p w14:paraId="0094444D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2.1.3 Исполнитель обязуется выполнять работы в соответствии с согласованным техническим заданием и условиями настоящего Договора, в сроки, установленные Приложениями №1. По завершении каждого этапа Исполнитель передает Заказчику результаты, предусмотренные соответствующим Приложением и пунктом 1.4.3 настоящего Договора.</w:t>
      </w:r>
    </w:p>
    <w:p w14:paraId="5405975F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2.1.4 Исполнитель обязуется сохранять конфиденциальность информации о деятельности Заказчика, полученной в связи с оказанием услуг по настоящему Договору. Заказчик, в свою очередь, обязуется соблюдать конфиденциальность в отношении сведений, полученных от Исполнителя, включая архитектуру программных решений, исходный код, методики внедрения, внутренние процессы разработки и сопутствующую документацию (см. п. 1.4.1–1.4.3). Обязанность по соблюдению конфиденциальности сохраняется в течение срока действия настоящего Договора и трёх лет после его окончания.</w:t>
      </w:r>
    </w:p>
    <w:p w14:paraId="30B6B897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2.1.5 Исполнитель обязуется по запросу Заказчика предоставлять информацию о ходе выполнения работ в согласованной форме — в виде письменного отчета, сообщений в корпоративном чате либо выгрузки из CRM-системы </w:t>
      </w:r>
      <w:r>
        <w:rPr>
          <w:rFonts w:ascii="Arial" w:hAnsi="Arial" w:cs="Arial"/>
          <w:szCs w:val="18"/>
          <w:highlight w:val="green"/>
        </w:rPr>
        <w:t>Битрикс24</w:t>
      </w:r>
      <w:r>
        <w:rPr>
          <w:rFonts w:ascii="Arial" w:hAnsi="Arial" w:cs="Arial"/>
          <w:szCs w:val="18"/>
        </w:rPr>
        <w:t xml:space="preserve"> (в соответствии с пунктом 1.4.3 настоящего Договора). Частота и формат предоставления отчетности определяются Сторонами в Приложении №1.</w:t>
      </w:r>
    </w:p>
    <w:p w14:paraId="41A93BD3">
      <w:pPr>
        <w:pStyle w:val="35"/>
        <w:numPr>
          <w:ilvl w:val="0"/>
          <w:numId w:val="0"/>
        </w:numPr>
        <w:tabs>
          <w:tab w:val="left" w:pos="709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2.2 Исполнитель имеет право:</w:t>
      </w:r>
    </w:p>
    <w:p w14:paraId="3EBC37F0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2.2.1 Требовать от Заказчика надлежащего исполнения обязательств по настоящему Договору, включая своевременное предоставление информации, материалов, доступа к системам, а также произведение оплаты в сроки, установленные Договором и Приложениями (см. п. 1.4.3 и 2.1.2).</w:t>
      </w:r>
    </w:p>
    <w:p w14:paraId="327E1901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2.2.2 Приостанавливать оказание услуг по настоящему Договору в случае непредоставления Заказчиком необходимой документации, материалов, информации, а также в случае задержки сдачи-приёмки промежуточных или окончательных результатов оказанных услуг либо оплаты по Договору более чем на пять (5) рабочих дней. </w:t>
      </w:r>
      <w:r>
        <w:rPr>
          <w:rFonts w:ascii="Arial" w:hAnsi="Arial" w:cs="Arial"/>
          <w:szCs w:val="18"/>
        </w:rPr>
        <w:br w:type="textWrapping"/>
      </w:r>
      <w:r>
        <w:rPr>
          <w:rFonts w:ascii="Arial" w:hAnsi="Arial" w:cs="Arial"/>
          <w:szCs w:val="18"/>
        </w:rPr>
        <w:t>В указанном случае план-график и сроки оказания услуг по Договору и Приложениям продлеваются Исполнителем в одностороннем порядке на период фактической задержки (см. п. 1.4.3 и 2.1.3). Исполнитель вправе приостановить оказание услуг до устранения указанных обстоятельств. Такая приостановка не считается нарушением сроков оказания услуг.</w:t>
      </w:r>
    </w:p>
    <w:p w14:paraId="15515358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2.2.3 Размещать логотип Заказчика и информацию о сотрудничестве на сайте Исполнителя и в иных информационных материалах при наличии согласия Заказчика, выраженного в письменной или электронной форме (в том числе посредством электронной переписки).</w:t>
      </w:r>
    </w:p>
    <w:p w14:paraId="03781689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2.2.4 Оказывать услуги как собственными силами, так и с привлечением третьих лиц (субподрядчиков), обладающих необходимой квалификацией и опытом, без необходимости получения отдельного согласования от Заказчика. Исполнитель несёт ответственность перед Заказчиком только за действия собственных подрядчиков в части, относящейся к оказанию услуг. При этом Исполнитель сохраняет полную ответственность за результаты оказания услуг по настоящему Договору (в соответствии с п. 1.1. и 2.1.3). Исполнитель вправе осуществлять оказание услуг как на территории Заказчика, так и на территории Исполнителя либо привлечённых им лиц.</w:t>
      </w:r>
    </w:p>
    <w:p w14:paraId="5CE49747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2.3 Заказчик обязуется:</w:t>
      </w:r>
    </w:p>
    <w:p w14:paraId="3553CB6C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2.3.1 Принять и оплатить услуги, оказанные Исполнителем в рамках настоящего Договора.</w:t>
      </w:r>
      <w:r>
        <w:rPr>
          <w:rFonts w:ascii="Arial" w:hAnsi="Arial" w:cs="Arial"/>
          <w:szCs w:val="18"/>
        </w:rPr>
        <w:br w:type="textWrapping"/>
      </w:r>
      <w:r>
        <w:rPr>
          <w:rFonts w:ascii="Arial" w:hAnsi="Arial" w:cs="Arial"/>
          <w:szCs w:val="18"/>
        </w:rPr>
        <w:t>Назначить из числа своих работников лицо, ответственное за взаимодействие с Исполнителем и решение оперативных вопросов, указав его в Приложении.</w:t>
      </w:r>
    </w:p>
    <w:p w14:paraId="3F9E43D4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Назначенное лицо обладает полномочиями для согласования требований, документов, актов и протоколов в ходе исполнения Договора. Замена ответственного лица осуществляется уведомлением без необходимости заключения дополнительного соглашения (см. п. 2.1.1).</w:t>
      </w:r>
    </w:p>
    <w:p w14:paraId="6690764B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2.3.2 Ознакомить Исполнителя с действующими на территории Заказчика инструкциями и правилами документооборота, в объёме, необходимом для оказания услуг по настоящему Договору.</w:t>
      </w:r>
    </w:p>
    <w:p w14:paraId="7621D257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2.3.3 Предоставить Исполнителю круглосуточный удалённый доступ к информационной системе Заказчика в пределах зоны его ответственности на срок оказания услуг по настоящему Договору.</w:t>
      </w:r>
      <w:r>
        <w:rPr>
          <w:rFonts w:ascii="Arial" w:hAnsi="Arial" w:cs="Arial"/>
          <w:szCs w:val="18"/>
        </w:rPr>
        <w:br w:type="textWrapping"/>
      </w:r>
      <w:r>
        <w:rPr>
          <w:rFonts w:ascii="Arial" w:hAnsi="Arial" w:cs="Arial"/>
          <w:szCs w:val="18"/>
        </w:rPr>
        <w:t>Исполнитель не несёт ответственности за сбои и ограничения, возникающие на стороне Заказчика или третьих лиц.</w:t>
      </w:r>
    </w:p>
    <w:p w14:paraId="4C075ECD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2.3.4 Сохранять конфиденциальность информации о деятельности Исполнителя в порядке, установленном пунктом 2.1.4 настоящего Договора.</w:t>
      </w:r>
    </w:p>
    <w:p w14:paraId="3244D26B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2.3.5 Производить оплату услуг в порядке и сроки, установленные Приложением. В случае противоречий между настоящим Договором и Приложением — приоритет имеют условия Приложения.</w:t>
      </w:r>
    </w:p>
    <w:p w14:paraId="56F9C3F8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2.3.6 Организовать работу своих сотрудников таким образом, чтобы задачи, за которые несёт ответственность Заказчик, выполнялись в согласованные с Исполнителем сроки (см. п. 1.4.3).</w:t>
      </w:r>
    </w:p>
    <w:p w14:paraId="4C027086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2.3.7 Обеспечить централизованное предоставление замечаний и предложений по результатам работ Исполнителя в разумные сроки, без избыточных итераций согласования.</w:t>
      </w:r>
    </w:p>
    <w:p w14:paraId="1C7FB084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2.3.8 Согласовывать документы, разработанные Исполнителем, в течение пяти (5) рабочих дней. При отсутствии замечаний в указанный срок документы считаются согласованными (см. п. 2.1.3).</w:t>
      </w:r>
    </w:p>
    <w:p w14:paraId="438C90F9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2.3.9 Обеспечить выполнение внутренних организационных изменений, необходимых для внедрения и работы предоставляемых Исполнителем решений, своими силами и за свой счёт.</w:t>
      </w:r>
    </w:p>
    <w:p w14:paraId="033EE38D">
      <w:pPr>
        <w:pStyle w:val="57"/>
        <w:numPr>
          <w:ilvl w:val="0"/>
          <w:numId w:val="0"/>
        </w:numPr>
        <w:tabs>
          <w:tab w:val="left" w:pos="120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2.3.10 Предоставлять Исполнителю необходимые материалы, информацию, оборудование и персонал. Исполнитель не несёт ответственности за задержки оказания услуг, вызванные непредоставлением таких ресурсов (см. п. 2.2.2).</w:t>
      </w:r>
    </w:p>
    <w:p w14:paraId="6FDF05BA">
      <w:pPr>
        <w:pStyle w:val="57"/>
        <w:numPr>
          <w:ilvl w:val="0"/>
          <w:numId w:val="0"/>
        </w:numPr>
        <w:tabs>
          <w:tab w:val="left" w:pos="120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2.3.11 Воздерживаться от предложений трудоустройства сотрудникам Исполнителя и их найма в течение срока действия настоящего Договора и 12 месяцев после его окончания, за исключением случаев, прямо предусмотренных сторонами в пункте 11.2 настоящего Договора.</w:t>
      </w:r>
    </w:p>
    <w:p w14:paraId="2631E84E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2.4 Заказчик имеет право:</w:t>
      </w:r>
    </w:p>
    <w:p w14:paraId="118A8F7B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2.4.1 Требовать от Исполнителя выполнения обязательств по настоящему Договору в соответствии с предметом (п. 1.1) и сроками, установленными Приложениями.</w:t>
      </w:r>
    </w:p>
    <w:p w14:paraId="2D11CFA8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2.4.2 Получать оперативную информацию о ходе выполнения работ в порядке, предусмотренном пунктом 2.1.5 настоящего Договора.</w:t>
      </w:r>
    </w:p>
    <w:p w14:paraId="005DBB74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2.4.3 Запрашивать у Исполнителя разъяснения по вопросам, связанным с выполнением услуг, без вмешательства в процесс разработки, проектирования и внедрения решений.</w:t>
      </w:r>
    </w:p>
    <w:p w14:paraId="50F492BD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2.4.4 Вносить предложения по улучшению предоставляемых Исполнителем решений при условии, что такие изменения не влияют на сроки и стоимость услуг без отдельного письменного согласования Сторон.</w:t>
      </w:r>
    </w:p>
    <w:p w14:paraId="7A978DEA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2.4.5 Получать результаты работ и иную документацию в объёме и формате, предусмотренном настоящим Договором и Приложениями к нему.</w:t>
      </w:r>
    </w:p>
    <w:bookmarkEnd w:id="3"/>
    <w:p w14:paraId="174A37D0">
      <w:pPr>
        <w:pStyle w:val="57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5789BA29">
      <w:pPr>
        <w:pStyle w:val="54"/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Порядок оказания услуг</w:t>
      </w:r>
    </w:p>
    <w:p w14:paraId="626ECB8E">
      <w:pPr>
        <w:pStyle w:val="35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4ECA50CB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3.1 Для оказания услуг Сторонами составляется и подписывается Приложение, в котором согласовывается форма, перечень, объём, стоимость и сроки оказания услуг, оказываемых в рамках настоящего Договора, а также определяются дополнительные условия, требуемые от Сторон для оказания соответствующих услуг.</w:t>
      </w:r>
      <w:r>
        <w:rPr>
          <w:rFonts w:ascii="Arial" w:hAnsi="Arial" w:cs="Arial"/>
          <w:szCs w:val="18"/>
        </w:rPr>
        <w:br w:type="textWrapping"/>
      </w:r>
      <w:r>
        <w:rPr>
          <w:rFonts w:ascii="Arial" w:hAnsi="Arial" w:cs="Arial"/>
          <w:szCs w:val="18"/>
        </w:rPr>
        <w:t>В случае противоречий между условиями настоящего Договора и соответствующего Приложения приоритет имеют Приложения.</w:t>
      </w:r>
    </w:p>
    <w:p w14:paraId="6FD8F4BC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3.1.1 Количество, квалификация и распределение работников Исполнителя, задействованных в оказании услуг по настоящему Договору, определяются Исполнителем самостоятельно, исходя из необходимости надлежащего исполнения обязательств по Договору.</w:t>
      </w:r>
    </w:p>
    <w:p w14:paraId="2AEAFE6B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3.2 Стороны признают, что надлежащее оказание услуг по Договору Исполнителем зависит от содействия Заказчика и исполнения им встречных обязательств, включая:</w:t>
      </w:r>
    </w:p>
    <w:p w14:paraId="35F31719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3.2.1. Своевременное предоставление всех сведений, документов и пояснений, запрошенных Исполнителем в связи с оказываемыми услугами.</w:t>
      </w:r>
    </w:p>
    <w:p w14:paraId="68CE7C8F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3.2.2. Своевременное принятие решений и получение согласований, необходимых для оказания услуг.</w:t>
      </w:r>
    </w:p>
    <w:p w14:paraId="2E8EFF62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3.2.3. Уведомление Исполнителя об изменениях бизнес-процессов, структуры предприятия и иных обстоятельств, способных повлиять на сроки и качество услуг.</w:t>
      </w:r>
    </w:p>
    <w:p w14:paraId="2DFA9525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3.3 В случае нарушения Заказчиком обязательств, указанных в настоящем пункте, сроки оказания услуг автоматически продлеваются на срок задержки, а Исполнитель вправе приостановить выполнение услуг до устранения таких обстоятельств (см. п. 2.2.2).</w:t>
      </w:r>
    </w:p>
    <w:p w14:paraId="4276C975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3.4. В случае возникновения обстоятельств, препятствующих надлежащему исполнению обязательств по Договору, Сторона обязана в течение двух (2) рабочих дней с момента их выявления письменно уведомить другую Сторону и предложить варианты их разрешения. Письменное уведомление может быть направлено по электронной почте, указанной в Приложении № 1, и имеет юридическую силу документа на бумажном носителе.</w:t>
      </w:r>
    </w:p>
    <w:p w14:paraId="3C096760">
      <w:pPr>
        <w:pStyle w:val="57"/>
        <w:numPr>
          <w:ilvl w:val="0"/>
          <w:numId w:val="0"/>
        </w:numPr>
        <w:tabs>
          <w:tab w:val="left" w:pos="96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3.5. Стороны ведут всю переписку по настоящему Договору (в том числе направляют запросы) в порядке, определённом Приложением № 1. Датой получения корреспонденции считается момент доставки почтового отправления, электронного подтверждения получения сообщения по e-mail либо доставки курьером. Стороны признают юридическую силу переписки по электронной почте, факсимильных сообщений, а также сообщений, направленных через мессенджеры (Telegram и иные согласованные каналы связи), при условии возможности однозначной идентификации отправителя.</w:t>
      </w:r>
    </w:p>
    <w:p w14:paraId="433BED51">
      <w:pPr>
        <w:pStyle w:val="35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523D9C4E">
      <w:pPr>
        <w:pStyle w:val="54"/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Порядок сдачи-приемки услуг</w:t>
      </w:r>
    </w:p>
    <w:p w14:paraId="464D8206">
      <w:pPr>
        <w:pStyle w:val="35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00C4C550">
      <w:pPr>
        <w:pStyle w:val="25"/>
        <w:spacing w:before="120" w:beforeAutospacing="0" w:after="120" w:afterAutospacing="0"/>
        <w:ind w:firstLine="720"/>
        <w:jc w:val="both"/>
        <w:rPr>
          <w:rFonts w:ascii="Arial" w:hAnsi="Arial" w:cs="Arial" w:eastAsiaTheme="minorEastAsia"/>
          <w:sz w:val="18"/>
          <w:szCs w:val="18"/>
        </w:rPr>
      </w:pPr>
      <w:r>
        <w:rPr>
          <w:rFonts w:ascii="Arial" w:hAnsi="Arial" w:cs="Arial" w:eastAsiaTheme="minorEastAsia"/>
          <w:sz w:val="18"/>
          <w:szCs w:val="18"/>
        </w:rPr>
        <w:t>4.1. После оказания услуг по каждому из этапов, предусмотренных Приложением, Исполнитель направляет Заказчику Акт сдачи-приёмки услуг. Акт может быть направлен в электронной форме (в том числе по электронной почте, указанной в Приложении № 1) и считается надлежащим образом предоставленным.</w:t>
      </w:r>
    </w:p>
    <w:p w14:paraId="21BB5B9E">
      <w:pPr>
        <w:pStyle w:val="25"/>
        <w:spacing w:before="120" w:beforeAutospacing="0" w:after="120" w:afterAutospacing="0"/>
        <w:ind w:firstLine="720"/>
        <w:jc w:val="both"/>
        <w:rPr>
          <w:rFonts w:ascii="Arial" w:hAnsi="Arial" w:cs="Arial" w:eastAsiaTheme="minorEastAsia"/>
          <w:sz w:val="18"/>
          <w:szCs w:val="18"/>
        </w:rPr>
      </w:pPr>
      <w:r>
        <w:rPr>
          <w:rFonts w:ascii="Arial" w:hAnsi="Arial" w:cs="Arial" w:eastAsiaTheme="minorEastAsia"/>
          <w:sz w:val="18"/>
          <w:szCs w:val="18"/>
        </w:rPr>
        <w:t>4.2. Заказчик обязан в течение пяти (5) рабочих дней с момента получения Акта либо подписать его, либо направить Исполнителю письменный мотивированный отказ, содержащий полный и непротиворечивый перечень замечаний. Отсутствие подписанного Акта или Мотивированного отказа в указанный срок означает безусловное принятие оказанных услуг. Мотивированный отказ допускается только при наличии конкретных расхождений с утверждённым техническим заданием. Замечания, не относящиеся к ТЗ (новые требования, эстетические предпочтения) оформляются отдельным приложением.</w:t>
      </w:r>
    </w:p>
    <w:p w14:paraId="1BE7AE9B">
      <w:pPr>
        <w:pStyle w:val="25"/>
        <w:spacing w:before="120" w:beforeAutospacing="0" w:after="120" w:afterAutospacing="0"/>
        <w:ind w:firstLine="720"/>
        <w:jc w:val="both"/>
        <w:rPr>
          <w:rFonts w:ascii="Arial" w:hAnsi="Arial" w:cs="Arial" w:eastAsiaTheme="minorEastAsia"/>
          <w:sz w:val="18"/>
          <w:szCs w:val="18"/>
        </w:rPr>
      </w:pPr>
      <w:r>
        <w:rPr>
          <w:rFonts w:ascii="Arial" w:hAnsi="Arial" w:cs="Arial" w:eastAsiaTheme="minorEastAsia"/>
          <w:sz w:val="18"/>
          <w:szCs w:val="18"/>
        </w:rPr>
        <w:t>4.3. При предоставлении Мотивированного отказа Стороны в течение пяти (5) рабочих дней согласовывают Протокол разногласий, содержащий решения по каждому замечанию и срок устранения. Замечания, не включённые в Протокол разногласий, считаются необоснованными и подлежащими отклонению.</w:t>
      </w:r>
    </w:p>
    <w:p w14:paraId="036227BB">
      <w:pPr>
        <w:pStyle w:val="25"/>
        <w:spacing w:before="120" w:beforeAutospacing="0" w:after="120" w:afterAutospacing="0"/>
        <w:ind w:firstLine="720"/>
        <w:jc w:val="both"/>
        <w:rPr>
          <w:rFonts w:ascii="Arial" w:hAnsi="Arial" w:cs="Arial" w:eastAsiaTheme="minorEastAsia"/>
          <w:sz w:val="18"/>
          <w:szCs w:val="18"/>
        </w:rPr>
      </w:pPr>
      <w:r>
        <w:rPr>
          <w:rFonts w:ascii="Arial" w:hAnsi="Arial" w:cs="Arial" w:eastAsiaTheme="minorEastAsia"/>
          <w:sz w:val="18"/>
          <w:szCs w:val="18"/>
        </w:rPr>
        <w:t>4.4. Исполнитель устраняет обоснованные замечания в установленный срок, после чего Заказчик обязан подписать Акт сдачи-приёмки в течение пяти (5) рабочих дней с момента получения.</w:t>
      </w:r>
    </w:p>
    <w:p w14:paraId="30987CB5">
      <w:pPr>
        <w:pStyle w:val="25"/>
        <w:spacing w:before="120" w:beforeAutospacing="0" w:after="120" w:afterAutospacing="0"/>
        <w:ind w:firstLine="720"/>
        <w:jc w:val="both"/>
        <w:rPr>
          <w:rFonts w:ascii="Arial" w:hAnsi="Arial" w:cs="Arial" w:eastAsiaTheme="minorEastAsia"/>
          <w:sz w:val="18"/>
          <w:szCs w:val="18"/>
        </w:rPr>
      </w:pPr>
      <w:r>
        <w:rPr>
          <w:rFonts w:ascii="Arial" w:hAnsi="Arial" w:cs="Arial" w:eastAsiaTheme="minorEastAsia"/>
          <w:sz w:val="18"/>
          <w:szCs w:val="18"/>
        </w:rPr>
        <w:t>4.5. Если в течение пяти (5) рабочих дней с момента направления Акта Заказчику Исполнитель не получает ни подписанный Акт, ни Мотивированный отказ, услуги считаются принятыми в полном объёме без замечаний. Исполнитель вправе подписать Акт в одностороннем порядке, и такой Акт имеет юридическую силу двустороннего.</w:t>
      </w:r>
    </w:p>
    <w:p w14:paraId="36538419">
      <w:pPr>
        <w:pStyle w:val="25"/>
        <w:spacing w:before="120" w:beforeAutospacing="0" w:after="120" w:afterAutospacing="0"/>
        <w:ind w:firstLine="720"/>
        <w:jc w:val="both"/>
        <w:rPr>
          <w:rFonts w:ascii="Arial" w:hAnsi="Arial" w:cs="Arial" w:eastAsiaTheme="minorEastAsia"/>
          <w:sz w:val="18"/>
          <w:szCs w:val="18"/>
        </w:rPr>
      </w:pPr>
      <w:r>
        <w:rPr>
          <w:rFonts w:ascii="Arial" w:hAnsi="Arial" w:cs="Arial" w:eastAsiaTheme="minorEastAsia"/>
          <w:sz w:val="18"/>
          <w:szCs w:val="18"/>
        </w:rPr>
        <w:t>4.6. Заказчик не вправе необоснованно отказывать в подписании Акта. В случае выявления необоснованного отказа Исполнитель вправе приостановить оказание последующих услуг до подписания Акта.</w:t>
      </w:r>
    </w:p>
    <w:p w14:paraId="0208AB8D">
      <w:pPr>
        <w:pStyle w:val="25"/>
        <w:spacing w:before="120" w:beforeAutospacing="0" w:after="120" w:afterAutospacing="0"/>
        <w:ind w:firstLine="720"/>
        <w:jc w:val="both"/>
        <w:rPr>
          <w:rFonts w:ascii="Arial" w:hAnsi="Arial" w:cs="Arial" w:eastAsiaTheme="minorEastAsia"/>
          <w:sz w:val="18"/>
          <w:szCs w:val="18"/>
        </w:rPr>
      </w:pPr>
      <w:r>
        <w:rPr>
          <w:rFonts w:ascii="Arial" w:hAnsi="Arial" w:cs="Arial" w:eastAsiaTheme="minorEastAsia"/>
          <w:sz w:val="18"/>
          <w:szCs w:val="18"/>
        </w:rPr>
        <w:t>4.7. Недостоверность данных, предоставленных Заказчиком, не является основанием для Мотивированного отказа.</w:t>
      </w:r>
    </w:p>
    <w:p w14:paraId="47D34B9C">
      <w:pPr>
        <w:pStyle w:val="25"/>
        <w:spacing w:before="120" w:beforeAutospacing="0" w:after="120" w:afterAutospacing="0"/>
        <w:ind w:firstLine="720"/>
        <w:jc w:val="both"/>
        <w:rPr>
          <w:rFonts w:ascii="Arial" w:hAnsi="Arial" w:cs="Arial" w:eastAsiaTheme="minorEastAsia"/>
          <w:sz w:val="18"/>
          <w:szCs w:val="18"/>
        </w:rPr>
      </w:pPr>
      <w:r>
        <w:rPr>
          <w:rFonts w:ascii="Arial" w:hAnsi="Arial" w:cs="Arial" w:eastAsiaTheme="minorEastAsia"/>
          <w:sz w:val="18"/>
          <w:szCs w:val="18"/>
        </w:rPr>
        <w:t>4.8. Заказчик, принявший результат без проверки, лишается права ссылаться на недостатки, которые могли быть выявлены при обычной приёмке.</w:t>
      </w:r>
    </w:p>
    <w:p w14:paraId="31626ED0">
      <w:pPr>
        <w:pStyle w:val="25"/>
        <w:spacing w:before="120" w:beforeAutospacing="0" w:after="120" w:afterAutospacing="0"/>
        <w:ind w:firstLine="720"/>
        <w:jc w:val="both"/>
        <w:rPr>
          <w:rFonts w:ascii="Arial" w:hAnsi="Arial" w:cs="Arial" w:eastAsiaTheme="minorEastAsia"/>
          <w:sz w:val="18"/>
          <w:szCs w:val="18"/>
        </w:rPr>
      </w:pPr>
      <w:r>
        <w:rPr>
          <w:rFonts w:ascii="Arial" w:hAnsi="Arial" w:cs="Arial" w:eastAsiaTheme="minorEastAsia"/>
          <w:sz w:val="18"/>
          <w:szCs w:val="18"/>
        </w:rPr>
        <w:t>4.9. В сроки оказания услуг не включаются периоды согласования материалов и время, необходимое Заказчику для предоставления информации, тестовых данных и иных материалов (см. п. 3.3 настоящего Договора).</w:t>
      </w:r>
    </w:p>
    <w:p w14:paraId="258BD1EA">
      <w:pPr>
        <w:pStyle w:val="25"/>
        <w:spacing w:before="120" w:beforeAutospacing="0" w:after="120" w:afterAutospacing="0"/>
        <w:ind w:firstLine="720"/>
        <w:jc w:val="both"/>
        <w:rPr>
          <w:rFonts w:ascii="Arial" w:hAnsi="Arial" w:cs="Arial" w:eastAsiaTheme="minorEastAsia"/>
          <w:sz w:val="18"/>
          <w:szCs w:val="18"/>
        </w:rPr>
      </w:pPr>
      <w:r>
        <w:rPr>
          <w:rFonts w:ascii="Arial" w:hAnsi="Arial" w:cs="Arial" w:eastAsiaTheme="minorEastAsia"/>
          <w:sz w:val="18"/>
          <w:szCs w:val="18"/>
        </w:rPr>
        <w:t>4.10. В случае уклонения Заказчика от приёмки оказанных услуг сдача-приёмка считается состоявшейся, а риск случайной утраты или повреждения результата переходит к Заказчику с даты, когда приёмка должна была состояться.</w:t>
      </w:r>
    </w:p>
    <w:p w14:paraId="64A51E2C">
      <w:pPr>
        <w:pStyle w:val="25"/>
        <w:spacing w:before="120" w:beforeAutospacing="0" w:after="120" w:afterAutospacing="0"/>
        <w:ind w:firstLine="720"/>
        <w:jc w:val="both"/>
        <w:rPr>
          <w:rFonts w:ascii="Arial" w:hAnsi="Arial" w:cs="Arial" w:eastAsiaTheme="minorEastAsia"/>
          <w:sz w:val="18"/>
          <w:szCs w:val="18"/>
        </w:rPr>
      </w:pPr>
      <w:r>
        <w:rPr>
          <w:rFonts w:ascii="Arial" w:hAnsi="Arial" w:cs="Arial" w:eastAsiaTheme="minorEastAsia"/>
          <w:sz w:val="18"/>
          <w:szCs w:val="18"/>
        </w:rPr>
        <w:t>4.11. Акт сдачи-приёмки может быть направлен Исполнителем в электронной форме (e-mail или через ЭДО). Моментом предоставления Акта считается дата его отправки Исполнителем.</w:t>
      </w:r>
    </w:p>
    <w:p w14:paraId="39808918">
      <w:pPr>
        <w:pStyle w:val="35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61BF1E87">
      <w:pPr>
        <w:pStyle w:val="54"/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Оплата услуг</w:t>
      </w:r>
    </w:p>
    <w:p w14:paraId="10959E12">
      <w:pPr>
        <w:pStyle w:val="35"/>
        <w:numPr>
          <w:ilvl w:val="0"/>
          <w:numId w:val="0"/>
        </w:numPr>
        <w:spacing w:before="120" w:after="120"/>
        <w:ind w:right="0" w:hanging="774"/>
        <w:jc w:val="left"/>
        <w:rPr>
          <w:rFonts w:ascii="Arial" w:hAnsi="Arial" w:cs="Arial"/>
          <w:szCs w:val="18"/>
        </w:rPr>
      </w:pPr>
    </w:p>
    <w:p w14:paraId="027BC6FB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5.1 Оплата услуг по настоящему Договору производится Заказчиком в размере и порядке, установленном в Приложении. Исполнитель приступает к оказанию услуг после поступления денежных средств на расчетный счет Исполнителя в объёме, предусмотренном Приложением. Если иное прямо не предусмотрено Приложением, услуги оказываются на условиях предоплаты.</w:t>
      </w:r>
    </w:p>
    <w:p w14:paraId="4DE9985A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5.2 Обязанность Заказчика по оплате считается исполненной с момента зачисления денежных средств на расчетный счет Исполнителя.</w:t>
      </w:r>
    </w:p>
    <w:p w14:paraId="3304FA14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5.3 Дополнительные услуги, не входящие в согласованный объем обучения, включая проведение дополнительных сессий, актуализацию материалов сверх согласованного объёма, индивидуальные консультации и повторное обучение новых сотрудников, выполняются Исполнителем только после подписания Сторонами соответствующего Приложения (или Дополнительного соглашения), в котором определяются объем, сроки и стоимость таких услуг, и их предоплаты.</w:t>
      </w:r>
    </w:p>
    <w:p w14:paraId="4827842D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5.4 Все платежи по настоящему Договору производятся в рублях Российской Федерации.</w:t>
      </w:r>
    </w:p>
    <w:p w14:paraId="0CDE8979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5.5 Стоимость оказываемых Исполнителем услуг является договорной, включает все расходы Исполнителя и изменению в одностороннем порядке не подлежит. Пересмотр стоимости возможен только по взаимному письменному соглашению Сторон.</w:t>
      </w:r>
    </w:p>
    <w:p w14:paraId="700B6A06">
      <w:pPr>
        <w:ind w:firstLine="624"/>
        <w:jc w:val="both"/>
        <w:rPr>
          <w:rFonts w:ascii="Arial" w:hAnsi="Arial" w:cs="Arial"/>
          <w:sz w:val="18"/>
          <w:szCs w:val="18"/>
        </w:rPr>
      </w:pPr>
    </w:p>
    <w:p w14:paraId="29B4F6CC">
      <w:pPr>
        <w:pStyle w:val="54"/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Ответственность сторон</w:t>
      </w:r>
    </w:p>
    <w:p w14:paraId="434CCA13">
      <w:pPr>
        <w:pStyle w:val="35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6BBD3310">
      <w:pPr>
        <w:pStyle w:val="35"/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Исполнитель гарантирует устранение ошибок, возникших по его вине, в течение 10 (десяти) рабочих дней с даты получения письменного уведомления Заказчика, при условии нормального использования системы в соответствии с инструкциями Исполнителя. Гарантийный срок — 1 (один) месяц с даты подписания Акта сдачи-приемки оказанных услуг. Исполнитель не несет ответственности за сбои, вызванные некорректным использованием, вмешательством третьих лиц, установкой обновлений без согласования или внешними факторами.</w:t>
      </w:r>
    </w:p>
    <w:p w14:paraId="77D14891">
      <w:pPr>
        <w:pStyle w:val="35"/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Вмешательство Заказчика или третьих лиц в программный код системы до истечения гарантийного срока аннулирует гарантийные обязательства Исполнителя.</w:t>
      </w:r>
    </w:p>
    <w:p w14:paraId="01BA4C8A">
      <w:pPr>
        <w:pStyle w:val="35"/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Основанием для оказания гарантийных услуг является воспроизводимость ошибки на копии конфигурации системы, переданной Заказчику при сдаче-приемке. При отсутствии возможности воспроизведения ошибки на указанной копии ошибка считается отсутствующей.</w:t>
      </w:r>
    </w:p>
    <w:p w14:paraId="78114134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Исполнитель оказывает услуги по устранению ошибок за отдельную плату, если причиной их возникновения являются действия или бездействие Заказчика, в том числе:</w:t>
      </w:r>
    </w:p>
    <w:p w14:paraId="587331F7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6.4.1. Несоблюдение инструкций, процедур и правил безопасности, описанных в документации.</w:t>
      </w:r>
    </w:p>
    <w:p w14:paraId="388F59EE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6.4.2. Сбои в работе оборудования или программного обеспечения, не вызванные действиями Исполнителя.</w:t>
      </w:r>
    </w:p>
    <w:p w14:paraId="56C45AA2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6.4.3. Использование системы в целях, отличных от предусмотренных документацией.</w:t>
      </w:r>
    </w:p>
    <w:p w14:paraId="21DD1D10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6.4.4. Отказ Заказчика от установки обновлений и исправлений, предоставленных Исполнителем.</w:t>
      </w:r>
    </w:p>
    <w:p w14:paraId="1F0ACD04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 w:firstLine="113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6.4.5. Некорректные модификации или вмешательство в программный код Заказчиком или третьими лицами. В случае сбоя в работе в той части информационной системы, которая не подвергалась изменениям в ходе оказания услуг Исполнителем, все услуги по диагностике и восстановлению функциональности ИСУ выполняются за счет Заказчика.</w:t>
      </w:r>
    </w:p>
    <w:p w14:paraId="650978D2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В случае сбоя в части системы, не изменявшейся Исполнителем, диагностика и восстановление выполняются за счет Заказчика.</w:t>
      </w:r>
    </w:p>
    <w:p w14:paraId="1DF72BFB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Исполнитель не обязан осуществлять доработку системы в связи с изменением законодательства, организационной структуры или бизнес-процессов Заказчика после сдачи-приемки услуг.</w:t>
      </w:r>
    </w:p>
    <w:p w14:paraId="713F62E1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За нарушение иных условий настоящего Договора стороны несут ответственность в соответствии с законодательством РФ. Размер имущественной ответственности Исполнителя ограничивается суммой фактически уплаченного Заказчиком вознаграждения по соответствующему Приложению. </w:t>
      </w:r>
    </w:p>
    <w:p w14:paraId="42667204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6.7. За нарушение иных условий настоящего Договора стороны несут ответственность в соответствии с законодательством РФ. Размер имущественной ответственности Исполнителя ограничивается суммой фактически уплаченного Заказчиком вознаграждения по соответствующему Приложению. Исполнитель не несёт ответственности за упущенную выгоду, косвенные или штрафные убытки.</w:t>
      </w:r>
    </w:p>
    <w:p w14:paraId="60BCC8A3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6.8. В случае просрочки оплаты Исполнитель вправе продлить сроки оказания услуг на период, равный количеству дней просрочки, без необходимости оформления дополнительных соглашений.</w:t>
      </w:r>
    </w:p>
    <w:p w14:paraId="2AEDE83F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6.9. Исполнитель не несет ответственности за невыполнение или несвоевременное выполнение обязательств, если оно вызвано действиями или бездействием Заказчика (см. п. 3.3 настоящего Договора).</w:t>
      </w:r>
    </w:p>
    <w:p w14:paraId="143BEBE7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6.10 Заказчик несёт ответственность за достоверность и полноту предоставленных данных, доступов и материалов. Ошибки, вызванные некорректными исходными данными, не считаются недостатками оказанных услуг.</w:t>
      </w:r>
    </w:p>
    <w:p w14:paraId="7D9049ED">
      <w:pPr>
        <w:pStyle w:val="35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0A7E8554">
      <w:pPr>
        <w:pStyle w:val="54"/>
        <w:numPr>
          <w:ilvl w:val="0"/>
          <w:numId w:val="7"/>
        </w:numPr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Форс-мажор и освобождение от ответственности</w:t>
      </w:r>
    </w:p>
    <w:p w14:paraId="55D2685D">
      <w:pPr>
        <w:pStyle w:val="35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72194FC9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Стороны освобождаются от ответственности за частичное или полное неисполнение обязательств по настоящему Договору, если оно явилось следствием обстоятельств непреодолимой силы (форс-мажора), то есть чрезвычайных и непредотвратимых при данных условиях событий, объективно препятствующих исполнению обязательств, включая невозможность доступа к сетевым ресурсам, блокировку или ограничение работы программных продуктов и сервисов, используемых Исполнителем.</w:t>
      </w:r>
    </w:p>
    <w:p w14:paraId="0C9647FF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Под обстоятельствами непреодолимой силы Стороны понимают, в том числе, но не ограничиваясь: стихийные бедствия (землетрясения, пожары, наводнения), эпидемии, забастовки, военные действия, террористические акты, действия (бездействие) государственных органов, санкции иностранных государств, перебои в работе систем связи, энергоснабжения, дата-центров, интернет-провайдеров, сбои программных продуктов или сервисов третьих лиц (включая, но не ограничиваясь, </w:t>
      </w:r>
      <w:r>
        <w:rPr>
          <w:rFonts w:ascii="Arial" w:hAnsi="Arial" w:cs="Arial"/>
          <w:szCs w:val="18"/>
          <w:highlight w:val="green"/>
        </w:rPr>
        <w:t>Битрикс24</w:t>
      </w:r>
      <w:r>
        <w:rPr>
          <w:rFonts w:ascii="Arial" w:hAnsi="Arial" w:cs="Arial"/>
          <w:szCs w:val="18"/>
        </w:rPr>
        <w:t>, телеком-операторов, поставщиков облачных сервисов), а также кибератаки, вирусные и DDoS-атаки.</w:t>
      </w:r>
    </w:p>
    <w:p w14:paraId="37BA2ED3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Сторона, для которой создалась невозможность исполнения обязательств, обязана в течение 5 (пяти) календарных дней уведомить другую Сторону о наступлении и прекращении обстоятельств форс-мажора любым доступным способом, включая электронную почту, с последующим письменным подтверждением. Надлежащим доказательством наличия и продолжительности форс-мажора являются справки Торгово-промышленной палаты РФ, а также документы уполномоченных органов (в том числе Минцифры, Роскомнадзора, операторов связи и дата-центров).</w:t>
      </w:r>
    </w:p>
    <w:p w14:paraId="229421B4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На период действия обстоятельств непреодолимой силы обязательства Сторон приостанавливаются без применения санкций за неисполнение. Сроки исполнения обязательств продлеваются автоматически на период действия форс-мажора и разумный срок для устранения последствий. Оплата, произведённая до наступления обстоятельств непреодолимой силы, возврату не подлежит, а работы возобновляются после устранения препятствий. Обстоятельства непреодолимой силы не освобождают Заказчика от оплаты услуг, оказанных до их наступления.</w:t>
      </w:r>
    </w:p>
    <w:p w14:paraId="3E5311F5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0C62EBD8">
      <w:pPr>
        <w:pStyle w:val="54"/>
        <w:numPr>
          <w:ilvl w:val="0"/>
          <w:numId w:val="7"/>
        </w:numPr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Порядок решения споров</w:t>
      </w:r>
    </w:p>
    <w:p w14:paraId="7C7881FA">
      <w:pPr>
        <w:pStyle w:val="35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303835E2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Стороны обязуются принимать все возможные меры к урегулированию споров, возникающих из настоящего Договора или в связи с ним, путем переговоров. Устанавливается обязательный претензионный порядок урегулирования спора. Претензия направляется другой Стороне заказным письмом, курьером или электронным письмом на адрес, указанный в настоящем Договоре. Сторона, получившая претензию, обязана рассмотреть её и направить письменный ответ в течение 10 (десяти) календарных дней со дня получения. Отсутствие ответа в указанный срок рассматривается как отказ от удовлетворения претензии, и претензионный порядок считается соблюденным.</w:t>
      </w:r>
    </w:p>
    <w:p w14:paraId="232251F1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В случае, если Стороны не смогут прийти к соглашению, все споры и разногласия, возникающие из настоящего Договора или в связи с ним, подлежат рассмотрению в Арбитражном суде по месту нахождения Исполнителя.</w:t>
      </w:r>
    </w:p>
    <w:p w14:paraId="4D901FA2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14A5C58A">
      <w:pPr>
        <w:pStyle w:val="54"/>
        <w:numPr>
          <w:ilvl w:val="0"/>
          <w:numId w:val="7"/>
        </w:numPr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Расторжение договора</w:t>
      </w:r>
    </w:p>
    <w:p w14:paraId="09F4D507">
      <w:pPr>
        <w:pStyle w:val="35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6FE7E3BA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Настоящий Договор может быть расторгнут в любой момент по взаимному письменному согласию Сторон. В этом случае Стороны составляют двусторонний акт сверки и Акт сдачи-приемки оказанных услуг, подтверждающий объем и стоимость выполненных работ. Неоплаченные услуги подлежат оплате Заказчиком в течение 5 (пяти) рабочих дней с даты подписания акта.</w:t>
      </w:r>
    </w:p>
    <w:p w14:paraId="410FB20B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В случае нарушения Заказчиком своих обязательств, включая, но не ограничиваясь, непредоставлением информации, материалов, доступов, согласований, необходимых для выполнения работ, Исполнитель вправе расторгнуть договор в одностороннем порядке, предупредив Заказчика за 10 (десять) календарных дней до даты расторжения. Исполнитель вправе потребовать оплаты фактически оказанных услуг, включая подготовительные, организационные и иные действия, направленные на исполнение Договора. Заказчик не вправе требовать возмещения убытков, вызванных расторжением договора.</w:t>
      </w:r>
    </w:p>
    <w:p w14:paraId="65346892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Заказчик вправе до сдачи ему результатов оказанных услуг отказаться от исполнения настоящего Договора, уведомив Исполнителя письменно не менее чем за 10 (десять) календарных дней до даты расторжения. В этом случае услуги по Договору считаются оказанными, а Заказчик обязан оплатить Исполнителю фактически выполненные работы и понесённые расходы, включая административные и организационные затраты. Размер подлежащей оплате суммы определяется исходя из фактически выполненного объема услуг и времени, затраченного на их выполнение, подтверждённого отчётами Исполнителя. Исполнитель не вправе требовать возмещения убытков, вызванных расторжением Договора.</w:t>
      </w:r>
    </w:p>
    <w:p w14:paraId="38454BA4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523036B8">
      <w:pPr>
        <w:pStyle w:val="54"/>
        <w:numPr>
          <w:ilvl w:val="0"/>
          <w:numId w:val="7"/>
        </w:numPr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Срок и порядок действия Договора</w:t>
      </w:r>
    </w:p>
    <w:p w14:paraId="22C1AB1B">
      <w:pPr>
        <w:pStyle w:val="35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43F9CFFB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Окончание срока действия настоящего Договора не освобождает Стороны от ответственности за нарушения или ненадлежащее исполнение обязательств, возникших в период его действия, включая обязательства по оплате и конфиденциальности. Все обязательства Сторон по оплате оказанных услуг должны быть исполнены в течение 30 (тридцати) календарных дней со дня окончания или расторжения Договора. В случае, если по истечении срока действия Договора Стороны фактически продолжают исполнение своих обязательств (в том числе оказание и приём услуг), Договор считается пролонгированным на тех же условиях на неопределённый срок до момента его прекращения по инициативе одной из Сторон с письменным уведомлением за 10 (десять) календарных дней.</w:t>
      </w:r>
    </w:p>
    <w:p w14:paraId="42EB9242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При наличии промежуточных сроков оказания услуг они определяются и согласовываются Сторонами в соответствующих Приложениях (графиках, планах или технических заданиях), являющихся неотъемлемой частью настоящего Договора.</w:t>
      </w:r>
    </w:p>
    <w:p w14:paraId="280CCE62">
      <w:pPr>
        <w:pStyle w:val="35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16347385">
      <w:pPr>
        <w:pStyle w:val="54"/>
        <w:numPr>
          <w:ilvl w:val="0"/>
          <w:numId w:val="7"/>
        </w:numPr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Особые условия</w:t>
      </w:r>
    </w:p>
    <w:p w14:paraId="1A5C5871">
      <w:pPr>
        <w:pStyle w:val="35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4EB3D6D0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Настоящий Договор составлен в двух экземплярах, имеющих одинаковую юридическую силу, по одному экземпляру для каждой из Сторон. Документы, направленные через системы электронного документооборота, приравниваются к оригиналам на бумажном носителе. Все изменения и/или дополнения к Договору действительны только в письменной форме и при условии подписания уполномоченными представителями Сторон. Документы, направленные по электронной почте, а также подписанные электронной подписью, приравниваются к документам на бумажном носителе и имеют равную юридическую силу. Все Приложения, Дополнительные соглашения и Акты являются неотъемлемыми частями настоящего Договора.</w:t>
      </w:r>
    </w:p>
    <w:p w14:paraId="6E0324A7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Установление Заказчиком (или аффилированными с ним лицами) трудовых либо гражданско-правовых отношений с сотрудником Исполнителя, участвовавшим в оказании услуг по настоящему Договору, в течение срока его действия и в течение 12 (двенадцати) месяцев после его прекращения, рассматривается как оказание Исполнителем услуг по подбору персонала. Заказчик обязуется выплатить Исполнителю компенсацию фиксированного ущерба в размере </w:t>
      </w:r>
      <w:r>
        <w:rPr>
          <w:rFonts w:ascii="Arial" w:hAnsi="Arial" w:cs="Arial"/>
          <w:szCs w:val="18"/>
          <w:highlight w:val="yellow"/>
        </w:rPr>
        <w:t>{{amount_number}}</w:t>
      </w:r>
      <w:r>
        <w:rPr>
          <w:rFonts w:ascii="Arial" w:hAnsi="Arial" w:cs="Arial"/>
          <w:szCs w:val="18"/>
        </w:rPr>
        <w:t xml:space="preserve"> </w:t>
      </w:r>
      <w:r>
        <w:rPr>
          <w:rFonts w:ascii="Arial" w:hAnsi="Arial" w:cs="Arial"/>
          <w:color w:val="auto"/>
          <w:szCs w:val="18"/>
          <w:highlight w:val="yellow"/>
          <w:shd w:val="clear" w:color="auto" w:fill="auto"/>
        </w:rPr>
        <w:t>{{amount_text}}</w:t>
      </w:r>
      <w:r>
        <w:rPr>
          <w:rFonts w:ascii="Arial" w:hAnsi="Arial" w:cs="Arial"/>
          <w:szCs w:val="18"/>
        </w:rPr>
        <w:t xml:space="preserve"> рублей за каждый случай установления таких отношений. Оплата производится в течение 10 (десяти) банковских дней с момента начала соответствующих отношений. При неисполнении обязательства Исполнитель вправе взыскать указанную сумму в судебном порядке, а все судебные расходы возмещаются Заказчиком.</w:t>
      </w:r>
    </w:p>
    <w:p w14:paraId="4F63F98D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В случае изменения любых данных, указанных в разделе 14 настоящего Договора, Сторона обязана уведомить об этом другую Сторону в течение 3 (трёх) рабочих дней с момента изменения. До получения такого уведомления другая Сторона вправе считать все ранее предоставленные реквизиты действующими, и риск последствий несвоевременного уведомления несёт изменившая данные Сторона.</w:t>
      </w:r>
    </w:p>
    <w:p w14:paraId="2FD6AB31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На проекте применяется проектная методология, используемая Исполнителем (в том числе Agile/Scrum, Kanban, Waterfall и иные в зависимости от специфики проекта). В случае противоречий между внутренними регламентами Заказчика и методологией Исполнителя, приоритет имеет методология Исполнителя.</w:t>
      </w:r>
    </w:p>
    <w:p w14:paraId="583F8100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При исполнении обязательств по настоящему Договору в части, неурегулированной его условиями, Стороны руководствуются действующим законодательством Российской Федерации.</w:t>
      </w:r>
    </w:p>
    <w:p w14:paraId="0FF25A40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51160552">
      <w:pPr>
        <w:pStyle w:val="54"/>
        <w:numPr>
          <w:ilvl w:val="0"/>
          <w:numId w:val="7"/>
        </w:numPr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Права на объекты интеллектуальной собственности</w:t>
      </w:r>
    </w:p>
    <w:p w14:paraId="27E054FE">
      <w:pPr>
        <w:pStyle w:val="35"/>
        <w:numPr>
          <w:ilvl w:val="0"/>
          <w:numId w:val="0"/>
        </w:numPr>
        <w:spacing w:before="120" w:after="120"/>
        <w:ind w:right="0"/>
        <w:rPr>
          <w:rFonts w:ascii="Arial" w:hAnsi="Arial" w:cs="Arial"/>
          <w:szCs w:val="18"/>
        </w:rPr>
      </w:pPr>
    </w:p>
    <w:p w14:paraId="68B6BC69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Все исключительные права на результаты интеллектуальной деятельности, созданные Исполнителем в процессе исполнения настоящего Договора (включая исходный код, архитектуру, алгоритмы, документацию, дизайн и иные результаты), принадлежат Исполнителю в полном объёме без ограничения сроков и территорий. Заказчику предоставляется неисключительное право использования указанных результатов только для собственных внутренних нужд, с момента подписания Сторонами Акта сдачи-приемки и полной оплаты соответствующих услуг. Заказчик не вправе передавать, перепродавать, лицензировать или иным образом предоставлять доступ к результатам третьим лицам без письменного согласия Исполнителя.</w:t>
      </w:r>
    </w:p>
    <w:p w14:paraId="7C13F6D0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В случае расторжения Договора по инициативе и/или по вине Заказчика до подписания Акта сдачи-приемки услуг, все созданные результаты интеллектуальной деятельности, включая промежуточные материалы, исходные коды, архитектурные решения, макеты и сценарии, остаются собственностью Исполнителя. Заказчику не предоставляется право на их использование, копирование или внедрение. При нарушении данного условия Исполнитель вправе взыскать компенсацию в размере двойной стоимости соответствующего этапа работ.</w:t>
      </w:r>
    </w:p>
    <w:p w14:paraId="109888EC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Программное обеспечение, модули, библиотеки, SDK, API и иные объекты интеллектуальной собственности, принадлежащие Исполнителю или третьим лицам и использованные при выполнении работ, не передаются Заказчику. Заказчик получает ограниченное право их использования исключительно в рамках эксплуатации результатов работ по Договору. Передача, копирование или использование указанных объектов вне данного контекста без письменного согласия правообладателя запрещено.</w:t>
      </w:r>
    </w:p>
    <w:p w14:paraId="652D1140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Исполнитель имеет право, как в ходе исполнения работ по Договору, так и после его окончания, использовать в своей исследовательской, методической, образовательной и иной законной деятельности полученные при выполнении работ материалы и решения: архитектуру, алгоритмы, технические приёмы, формы и форматы данных, не содержащие конфиденциальной информации Заказчика. Исполнитель также вправе повторно использовать в иных проектах собственные наработки, созданные в ходе исполнения настоящего Договора, при условии, что это не влечёт раскрытия коммерческой тайны Заказчика.</w:t>
      </w:r>
    </w:p>
    <w:p w14:paraId="09A17F8B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Исполнитель вправе размещать сведения о выполненных работах (наименование проекта, логотип Заказчика, описание задачи и результата) в своём портфолио и на сайте, без раскрытия конфиденциальной информации.</w:t>
      </w:r>
    </w:p>
    <w:p w14:paraId="719D67F5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62EA16F8">
      <w:pPr>
        <w:pStyle w:val="54"/>
        <w:numPr>
          <w:ilvl w:val="0"/>
          <w:numId w:val="7"/>
        </w:numPr>
        <w:shd w:val="clear" w:color="auto" w:fill="auto"/>
        <w:spacing w:before="120" w:after="120"/>
        <w:ind w:left="0" w:hanging="357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Заключительные положения</w:t>
      </w:r>
    </w:p>
    <w:p w14:paraId="231E1FE8">
      <w:pPr>
        <w:pStyle w:val="35"/>
        <w:numPr>
          <w:ilvl w:val="0"/>
          <w:numId w:val="0"/>
        </w:numPr>
        <w:spacing w:before="120" w:after="120"/>
        <w:ind w:right="0"/>
        <w:rPr>
          <w:rFonts w:ascii="Arial" w:hAnsi="Arial" w:cs="Arial"/>
          <w:szCs w:val="18"/>
        </w:rPr>
      </w:pPr>
    </w:p>
    <w:p w14:paraId="27D2CC6F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Настоящий Договор составлен в двух подлинных экземплярах, имеющих одинаковую юридическую силу, по одному экземпляру для каждой из Сторон. Подписанные сканированные копии Договора и приложений, направленные по электронной почте, а также документы, подписанные усиленной квалифицированной электронной подписью, признаются равнозначными оригиналам.</w:t>
      </w:r>
    </w:p>
    <w:p w14:paraId="526F2095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Любые исправления, изменения и дополнения к настоящему Договору и его Приложениям допускаются только по взаимному согласию Сторон и оформляются в письменной форме в виде Дополнительного соглашения, подписанного уполномоченными представителями Сторон. Допускается подписание таких документов посредством обмена сканированными копиями или с использованием электронной подписи. Изменения, внесённые в одностороннем порядке, юридической силы не имеют. </w:t>
      </w:r>
    </w:p>
    <w:p w14:paraId="1AA38989">
      <w:pPr>
        <w:pStyle w:val="35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3739E801">
      <w:pPr>
        <w:pStyle w:val="35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2B87921A">
      <w:pPr>
        <w:pStyle w:val="35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37F576C0">
      <w:pPr>
        <w:pStyle w:val="54"/>
        <w:numPr>
          <w:ilvl w:val="0"/>
          <w:numId w:val="0"/>
        </w:numPr>
        <w:shd w:val="clear" w:color="auto" w:fill="auto"/>
        <w:spacing w:before="120" w:after="120"/>
        <w:jc w:val="left"/>
        <w:rPr>
          <w:rFonts w:ascii="Arial" w:hAnsi="Arial" w:cs="Arial"/>
          <w:szCs w:val="18"/>
        </w:rPr>
      </w:pPr>
    </w:p>
    <w:p w14:paraId="07527A82">
      <w:pPr>
        <w:pStyle w:val="54"/>
        <w:numPr>
          <w:ilvl w:val="0"/>
          <w:numId w:val="7"/>
        </w:numPr>
        <w:shd w:val="clear" w:color="auto" w:fill="auto"/>
        <w:spacing w:before="120" w:after="1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Адреса и реквизиты Сторон</w:t>
      </w:r>
    </w:p>
    <w:p w14:paraId="4F21B4B2">
      <w:pPr>
        <w:spacing w:before="120" w:after="120"/>
        <w:rPr>
          <w:rFonts w:ascii="Arial" w:hAnsi="Arial" w:eastAsia="Times New Roman" w:cs="Arial"/>
          <w:sz w:val="18"/>
          <w:szCs w:val="18"/>
        </w:rPr>
      </w:pPr>
    </w:p>
    <w:p w14:paraId="33D45F66">
      <w:pPr>
        <w:spacing w:before="120" w:after="120"/>
        <w:rPr>
          <w:rFonts w:ascii="Arial" w:hAnsi="Arial" w:cs="Arial"/>
          <w:sz w:val="18"/>
          <w:szCs w:val="18"/>
        </w:rPr>
      </w:pPr>
    </w:p>
    <w:tbl>
      <w:tblPr>
        <w:tblStyle w:val="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94"/>
        <w:gridCol w:w="5095"/>
      </w:tblGrid>
      <w:tr w14:paraId="55A01F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94" w:type="dxa"/>
          </w:tcPr>
          <w:p w14:paraId="51C1D173">
            <w:pPr>
              <w:spacing w:before="120" w:after="120"/>
              <w:jc w:val="both"/>
              <w:rPr>
                <w:rFonts w:ascii="Arial" w:hAnsi="Arial" w:eastAsia="Times New Roman" w:cs="Arial"/>
                <w:b/>
                <w:color w:val="000000"/>
                <w:sz w:val="18"/>
                <w:szCs w:val="18"/>
                <w:lang w:val="ru-RU" w:bidi="en-US"/>
              </w:rPr>
            </w:pPr>
            <w:r>
              <w:rPr>
                <w:rFonts w:eastAsiaTheme="majorEastAsia"/>
                <w:sz w:val="22"/>
                <w:szCs w:val="22"/>
                <w:lang w:val="en-US" w:bidi="en-US"/>
              </w:rPr>
              <w:t>ЗАКАЗЧИК</w:t>
            </w:r>
          </w:p>
          <w:p w14:paraId="055560A3">
            <w:pPr>
              <w:rPr>
                <w:rFonts w:eastAsiaTheme="majorEastAsia"/>
                <w:sz w:val="22"/>
                <w:szCs w:val="22"/>
                <w:lang w:val="en-US" w:bidi="en-US"/>
              </w:rPr>
            </w:pPr>
          </w:p>
          <w:p w14:paraId="710C6A2D">
            <w:pPr>
              <w:rPr>
                <w:rFonts w:eastAsiaTheme="majorEastAsia"/>
                <w:sz w:val="22"/>
                <w:szCs w:val="22"/>
                <w:lang w:val="en-US" w:bidi="en-US"/>
              </w:rPr>
            </w:pPr>
          </w:p>
          <w:p w14:paraId="2E19E82E">
            <w:pPr>
              <w:rPr>
                <w:rFonts w:eastAsiaTheme="majorEastAsia"/>
                <w:sz w:val="22"/>
                <w:szCs w:val="22"/>
                <w:lang w:val="en-US" w:bidi="en-US"/>
              </w:rPr>
            </w:pPr>
            <w:r>
              <w:rPr>
                <w:rFonts w:eastAsiaTheme="majorEastAsia"/>
                <w:sz w:val="22"/>
                <w:szCs w:val="22"/>
                <w:highlight w:val="yellow"/>
                <w:lang w:val="en-US" w:bidi="en-US"/>
              </w:rPr>
              <w:t>{{client_name}}</w:t>
            </w:r>
          </w:p>
          <w:p w14:paraId="741CB16A">
            <w:pPr>
              <w:rPr>
                <w:rFonts w:eastAsiaTheme="majorEastAsia"/>
                <w:sz w:val="22"/>
                <w:szCs w:val="22"/>
                <w:lang w:val="en-US" w:bidi="en-US"/>
              </w:rPr>
            </w:pPr>
            <w:r>
              <w:rPr>
                <w:rFonts w:eastAsiaTheme="majorEastAsia"/>
                <w:sz w:val="22"/>
                <w:szCs w:val="22"/>
                <w:lang w:val="en-US" w:bidi="en-US"/>
              </w:rPr>
              <w:t xml:space="preserve">ИНН: </w:t>
            </w:r>
            <w:r>
              <w:rPr>
                <w:rFonts w:eastAsiaTheme="majorEastAsia"/>
                <w:sz w:val="22"/>
                <w:szCs w:val="22"/>
                <w:highlight w:val="yellow"/>
                <w:lang w:val="en-US" w:bidi="en-US"/>
              </w:rPr>
              <w:t>{{client_inn}}</w:t>
            </w:r>
          </w:p>
          <w:p w14:paraId="733EEF04">
            <w:pPr>
              <w:rPr>
                <w:rFonts w:eastAsiaTheme="majorEastAsia"/>
                <w:sz w:val="22"/>
                <w:szCs w:val="22"/>
                <w:lang w:val="en-US" w:bidi="en-US"/>
              </w:rPr>
            </w:pPr>
            <w:r>
              <w:rPr>
                <w:rFonts w:eastAsiaTheme="majorEastAsia"/>
                <w:sz w:val="22"/>
                <w:szCs w:val="22"/>
                <w:lang w:val="en-US" w:bidi="en-US"/>
              </w:rPr>
              <w:t xml:space="preserve">КПП: </w:t>
            </w:r>
            <w:r>
              <w:rPr>
                <w:rFonts w:eastAsiaTheme="majorEastAsia"/>
                <w:sz w:val="22"/>
                <w:szCs w:val="22"/>
                <w:highlight w:val="yellow"/>
                <w:lang w:val="en-US" w:bidi="en-US"/>
              </w:rPr>
              <w:t>{{client_kpp}}</w:t>
            </w:r>
          </w:p>
          <w:p w14:paraId="28A6EB2E">
            <w:pPr>
              <w:rPr>
                <w:rFonts w:eastAsiaTheme="majorEastAsia"/>
                <w:sz w:val="22"/>
                <w:szCs w:val="22"/>
                <w:lang w:val="en-US" w:bidi="en-US"/>
              </w:rPr>
            </w:pPr>
            <w:r>
              <w:rPr>
                <w:rFonts w:eastAsiaTheme="majorEastAsia"/>
                <w:sz w:val="22"/>
                <w:szCs w:val="22"/>
                <w:lang w:val="en-US" w:bidi="en-US"/>
              </w:rPr>
              <w:t xml:space="preserve">ОГРН: </w:t>
            </w:r>
            <w:r>
              <w:rPr>
                <w:rFonts w:eastAsiaTheme="majorEastAsia"/>
                <w:sz w:val="22"/>
                <w:szCs w:val="22"/>
                <w:highlight w:val="yellow"/>
                <w:lang w:val="en-US" w:bidi="en-US"/>
              </w:rPr>
              <w:t>{{client_ogrn}}</w:t>
            </w:r>
          </w:p>
          <w:p w14:paraId="10FEED78">
            <w:pPr>
              <w:rPr>
                <w:rFonts w:eastAsiaTheme="majorEastAsia"/>
                <w:sz w:val="22"/>
                <w:szCs w:val="22"/>
                <w:lang w:val="en-US" w:bidi="en-US"/>
              </w:rPr>
            </w:pPr>
            <w:r>
              <w:rPr>
                <w:rFonts w:eastAsiaTheme="majorEastAsia"/>
                <w:sz w:val="22"/>
                <w:szCs w:val="22"/>
                <w:lang w:val="en-US" w:bidi="en-US"/>
              </w:rPr>
              <w:t xml:space="preserve">Юридический адрес: </w:t>
            </w:r>
            <w:r>
              <w:rPr>
                <w:rFonts w:eastAsiaTheme="majorEastAsia"/>
                <w:sz w:val="22"/>
                <w:szCs w:val="22"/>
                <w:highlight w:val="yellow"/>
                <w:lang w:val="en-US" w:bidi="en-US"/>
              </w:rPr>
              <w:t>{{client_legal_address}}</w:t>
            </w:r>
          </w:p>
          <w:p w14:paraId="5AD54F4D">
            <w:pPr>
              <w:rPr>
                <w:rFonts w:eastAsiaTheme="majorEastAsia"/>
                <w:sz w:val="22"/>
                <w:szCs w:val="22"/>
                <w:lang w:val="en-US" w:bidi="en-US"/>
              </w:rPr>
            </w:pPr>
            <w:r>
              <w:rPr>
                <w:rFonts w:eastAsiaTheme="majorEastAsia"/>
                <w:sz w:val="22"/>
                <w:szCs w:val="22"/>
                <w:lang w:val="en-US" w:bidi="en-US"/>
              </w:rPr>
              <w:t xml:space="preserve">Почтовый адрес: </w:t>
            </w:r>
            <w:r>
              <w:rPr>
                <w:rFonts w:eastAsiaTheme="majorEastAsia"/>
                <w:sz w:val="22"/>
                <w:szCs w:val="22"/>
                <w:highlight w:val="yellow"/>
                <w:lang w:val="en-US" w:bidi="en-US"/>
              </w:rPr>
              <w:t>{{client_postal_address}}</w:t>
            </w:r>
          </w:p>
          <w:p w14:paraId="3C5F398A">
            <w:pPr>
              <w:rPr>
                <w:rFonts w:eastAsiaTheme="majorEastAsia"/>
                <w:sz w:val="22"/>
                <w:szCs w:val="22"/>
                <w:lang w:val="en-US" w:bidi="en-US"/>
              </w:rPr>
            </w:pPr>
            <w:r>
              <w:rPr>
                <w:rFonts w:eastAsiaTheme="majorEastAsia"/>
                <w:sz w:val="22"/>
                <w:szCs w:val="22"/>
                <w:lang w:val="en-US" w:bidi="en-US"/>
              </w:rPr>
              <w:t xml:space="preserve">Реквизиты: </w:t>
            </w:r>
            <w:r>
              <w:rPr>
                <w:rFonts w:eastAsiaTheme="majorEastAsia"/>
                <w:sz w:val="22"/>
                <w:szCs w:val="22"/>
                <w:highlight w:val="yellow"/>
                <w:lang w:val="en-US" w:bidi="en-US"/>
              </w:rPr>
              <w:t>{{client_bank_name}}</w:t>
            </w:r>
          </w:p>
          <w:p w14:paraId="4B2A89D9">
            <w:pPr>
              <w:rPr>
                <w:rFonts w:eastAsiaTheme="majorEastAsia"/>
                <w:sz w:val="22"/>
                <w:szCs w:val="22"/>
                <w:lang w:val="en-US" w:bidi="en-US"/>
              </w:rPr>
            </w:pPr>
            <w:r>
              <w:rPr>
                <w:rFonts w:eastAsiaTheme="majorEastAsia"/>
                <w:sz w:val="22"/>
                <w:szCs w:val="22"/>
                <w:lang w:val="en-US" w:bidi="en-US"/>
              </w:rPr>
              <w:t xml:space="preserve">Номер счета: </w:t>
            </w:r>
            <w:r>
              <w:rPr>
                <w:rFonts w:eastAsiaTheme="majorEastAsia"/>
                <w:sz w:val="22"/>
                <w:szCs w:val="22"/>
                <w:highlight w:val="yellow"/>
                <w:lang w:val="en-US" w:bidi="en-US"/>
              </w:rPr>
              <w:t>{{client_bank_account}}</w:t>
            </w:r>
          </w:p>
          <w:p w14:paraId="4AE238F9">
            <w:pPr>
              <w:rPr>
                <w:rFonts w:eastAsiaTheme="majorEastAsia"/>
                <w:sz w:val="22"/>
                <w:szCs w:val="22"/>
                <w:lang w:val="en-US" w:bidi="en-US"/>
              </w:rPr>
            </w:pPr>
            <w:r>
              <w:rPr>
                <w:rFonts w:eastAsiaTheme="majorEastAsia"/>
                <w:sz w:val="22"/>
                <w:szCs w:val="22"/>
                <w:lang w:val="en-US" w:bidi="en-US"/>
              </w:rPr>
              <w:t xml:space="preserve">БИК: </w:t>
            </w:r>
            <w:r>
              <w:rPr>
                <w:rFonts w:eastAsiaTheme="majorEastAsia"/>
                <w:sz w:val="22"/>
                <w:szCs w:val="22"/>
                <w:highlight w:val="yellow"/>
                <w:lang w:val="en-US" w:bidi="en-US"/>
              </w:rPr>
              <w:t>{{client_bik}}</w:t>
            </w:r>
          </w:p>
          <w:p w14:paraId="0A6ECB0D">
            <w:pPr>
              <w:rPr>
                <w:rFonts w:eastAsiaTheme="majorEastAsia"/>
                <w:sz w:val="22"/>
                <w:szCs w:val="22"/>
                <w:lang w:val="en-US" w:bidi="en-US"/>
              </w:rPr>
            </w:pPr>
            <w:r>
              <w:rPr>
                <w:rFonts w:eastAsiaTheme="majorEastAsia"/>
                <w:sz w:val="22"/>
                <w:szCs w:val="22"/>
                <w:lang w:val="en-US" w:bidi="en-US"/>
              </w:rPr>
              <w:t xml:space="preserve">К/с: </w:t>
            </w:r>
            <w:r>
              <w:rPr>
                <w:rFonts w:eastAsiaTheme="majorEastAsia"/>
                <w:sz w:val="22"/>
                <w:szCs w:val="22"/>
                <w:highlight w:val="yellow"/>
                <w:lang w:val="en-US" w:bidi="en-US"/>
              </w:rPr>
              <w:t>{{client_correspondent_account}}</w:t>
            </w:r>
          </w:p>
        </w:tc>
        <w:tc>
          <w:tcPr>
            <w:tcW w:w="5095" w:type="dxa"/>
          </w:tcPr>
          <w:p w14:paraId="6630D85F">
            <w:pPr>
              <w:spacing w:before="120" w:after="120"/>
              <w:rPr>
                <w:rFonts w:ascii="Arial" w:hAnsi="Arial" w:cs="Arial" w:eastAsiaTheme="majorEastAsia"/>
                <w:sz w:val="18"/>
                <w:szCs w:val="18"/>
                <w:lang w:val="en-US" w:bidi="en-US"/>
              </w:rPr>
            </w:pPr>
            <w:r>
              <w:rPr>
                <w:rFonts w:eastAsiaTheme="majorEastAsia"/>
                <w:sz w:val="22"/>
                <w:szCs w:val="22"/>
                <w:lang w:val="en-US" w:bidi="en-US"/>
              </w:rPr>
              <w:t>ИСПОЛНИТЕЛЬ</w:t>
            </w:r>
          </w:p>
          <w:p w14:paraId="1BC164B6">
            <w:pPr>
              <w:rPr>
                <w:rFonts w:eastAsiaTheme="majorEastAsia"/>
                <w:sz w:val="22"/>
                <w:szCs w:val="22"/>
                <w:lang w:val="en-US" w:bidi="en-US"/>
              </w:rPr>
            </w:pPr>
          </w:p>
          <w:p w14:paraId="2265DB25">
            <w:pPr>
              <w:rPr>
                <w:rFonts w:eastAsiaTheme="majorEastAsia"/>
                <w:sz w:val="22"/>
                <w:szCs w:val="22"/>
                <w:lang w:val="en-US" w:bidi="en-US"/>
              </w:rPr>
            </w:pPr>
          </w:p>
          <w:p w14:paraId="0578DC0C">
            <w:pPr>
              <w:spacing w:before="120" w:after="120"/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</w:pPr>
            <w:r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  <w:t>ООО "</w:t>
            </w: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t xml:space="preserve"> Юнитех</w:t>
            </w:r>
            <w:r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  <w:t xml:space="preserve"> "</w:t>
            </w:r>
          </w:p>
          <w:p w14:paraId="7CE7C073">
            <w:pPr>
              <w:spacing w:before="120" w:after="120"/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</w:pPr>
            <w:r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  <w:t xml:space="preserve">ОГРНИП </w:t>
            </w: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t>1225800010468</w:t>
            </w:r>
          </w:p>
          <w:p w14:paraId="7F389B42">
            <w:pPr>
              <w:pStyle w:val="68"/>
              <w:spacing w:before="120" w:after="120" w:line="240" w:lineRule="auto"/>
              <w:ind w:left="0" w:right="0"/>
              <w:jc w:val="left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ИНН 5836899414 / КПП 583601001</w:t>
            </w:r>
          </w:p>
          <w:p w14:paraId="44CE48CB">
            <w:pPr>
              <w:spacing w:before="120" w:after="120"/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</w:pPr>
            <w:r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  <w:t xml:space="preserve">Юр. адрес: </w:t>
            </w:r>
            <w:r>
              <w:fldChar w:fldCharType="begin"/>
            </w:r>
            <w:r>
              <w:instrText xml:space="preserve"> HYPERLINK "https://yandex.ru/maps/?source=exp-counterparty_entity&amp;text=440026,%20%D0%9F%D0%B5%D0%BD%D0%B7%D0%B5%D0%BD%D1%81%D0%BA%D0%B0%D1%8F%20%D0%BE%D0%B1%D0%BB%D0%B0%D1%81%D1%82%D1%8C,%20%D0%B3.%D0%BE.%20%D0%93%D0%BE%D1%80%D0%BE%D0%B4%20%D0%9F%D0%B5%D0%BD%D0%B7%D0%B0,%20%D0%B3%20%D0%9F%D0%B5%D0%BD%D0%B7%D0%B0,%20%D1%83%D0%BB%20%D0%92%D0%BE%D0%BB%D0%BE%D0%B4%D0%B0%D1%80%D1%81%D0%BA%D0%BE%D0%B3%D0%BE,%20%D1%81%D1%82%D1%80.%2020" \t "_blank" </w:instrText>
            </w:r>
            <w:r>
              <w:fldChar w:fldCharType="separate"/>
            </w: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t>440026, Пензенская</w:t>
            </w: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fldChar w:fldCharType="end"/>
            </w: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t xml:space="preserve"> область, ул. Московская, д. 27, офис 402</w:t>
            </w:r>
          </w:p>
          <w:p w14:paraId="0C0F1284">
            <w:pPr>
              <w:spacing w:before="120" w:after="120"/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</w:pPr>
            <w:r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  <w:t xml:space="preserve">Факт. адрес: </w:t>
            </w:r>
            <w:r>
              <w:fldChar w:fldCharType="begin"/>
            </w:r>
            <w:r>
              <w:instrText xml:space="preserve"> HYPERLINK "https://yandex.ru/maps/?source=exp-counterparty_entity&amp;text=440026,%20%D0%9F%D0%B5%D0%BD%D0%B7%D0%B5%D0%BD%D1%81%D0%BA%D0%B0%D1%8F%20%D0%BE%D0%B1%D0%BB%D0%B0%D1%81%D1%82%D1%8C,%20%D0%B3.%D0%BE.%20%D0%93%D0%BE%D1%80%D0%BE%D0%B4%20%D0%9F%D0%B5%D0%BD%D0%B7%D0%B0,%20%D0%B3%20%D0%9F%D0%B5%D0%BD%D0%B7%D0%B0,%20%D1%83%D0%BB%20%D0%92%D0%BE%D0%BB%D0%BE%D0%B4%D0%B0%D1%80%D1%81%D0%BA%D0%BE%D0%B3%D0%BE,%20%D1%81%D1%82%D1%80.%2020" \t "_blank" </w:instrText>
            </w:r>
            <w:r>
              <w:fldChar w:fldCharType="separate"/>
            </w: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t>440026, Пензенская</w:t>
            </w: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fldChar w:fldCharType="end"/>
            </w: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t xml:space="preserve"> область, ул. Московская, д. 27, офис 402</w:t>
            </w:r>
          </w:p>
          <w:p w14:paraId="6CEA401C">
            <w:pPr>
              <w:spacing w:before="120" w:after="120"/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</w:pPr>
            <w:r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  <w:t xml:space="preserve">Р/с </w:t>
            </w: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t>40702810629840000432</w:t>
            </w:r>
          </w:p>
          <w:p w14:paraId="33414D77">
            <w:pPr>
              <w:spacing w:before="120" w:after="120"/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</w:pPr>
            <w:r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  <w:t xml:space="preserve">в </w:t>
            </w: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t>ФИЛИАЛ «НИЖЕГОРОДСКИЙ» АО «АЛЬФА-БАНК»</w:t>
            </w:r>
          </w:p>
          <w:p w14:paraId="083265A9">
            <w:pPr>
              <w:spacing w:before="120" w:after="120"/>
              <w:rPr>
                <w:rFonts w:ascii="Arial" w:hAnsi="Arial" w:cs="Arial" w:eastAsiaTheme="majorEastAsia"/>
                <w:bCs/>
                <w:sz w:val="18"/>
                <w:szCs w:val="18"/>
                <w:lang w:val="en-US" w:bidi="en-US"/>
              </w:rPr>
            </w:pPr>
            <w:r>
              <w:rPr>
                <w:rFonts w:ascii="Arial" w:hAnsi="Arial" w:cs="Arial" w:eastAsiaTheme="majorEastAsia"/>
                <w:bCs/>
                <w:sz w:val="18"/>
                <w:szCs w:val="18"/>
                <w:lang w:val="en-US" w:bidi="en-US"/>
              </w:rPr>
              <w:t xml:space="preserve">К/с </w:t>
            </w:r>
            <w:r>
              <w:rPr>
                <w:rFonts w:ascii="Arial" w:hAnsi="Arial" w:cs="Arial" w:eastAsiaTheme="majorEastAsia"/>
                <w:sz w:val="18"/>
                <w:szCs w:val="18"/>
                <w:lang w:val="en-US" w:bidi="en-US"/>
              </w:rPr>
              <w:t>30101810200000000824</w:t>
            </w:r>
          </w:p>
          <w:p w14:paraId="18D84291">
            <w:pPr>
              <w:rPr>
                <w:rFonts w:hint="default" w:eastAsiaTheme="majorEastAsia"/>
                <w:sz w:val="22"/>
                <w:szCs w:val="22"/>
                <w:lang w:val="en-US" w:bidi="en-US"/>
              </w:rPr>
            </w:pPr>
            <w:r>
              <w:rPr>
                <w:rFonts w:ascii="Arial" w:hAnsi="Arial" w:cs="Arial" w:eastAsiaTheme="majorEastAsia"/>
                <w:bCs/>
                <w:sz w:val="18"/>
                <w:szCs w:val="18"/>
                <w:lang w:val="en-US" w:bidi="en-US"/>
              </w:rPr>
              <w:t xml:space="preserve">БИК </w:t>
            </w:r>
            <w:r>
              <w:rPr>
                <w:rFonts w:ascii="Arial" w:hAnsi="Arial" w:cs="Arial" w:eastAsiaTheme="majorEastAsia"/>
                <w:sz w:val="18"/>
                <w:szCs w:val="18"/>
                <w:lang w:val="en-US" w:bidi="en-US"/>
              </w:rPr>
              <w:t>042202824</w:t>
            </w:r>
          </w:p>
        </w:tc>
      </w:tr>
      <w:tr w14:paraId="0C2A0C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94" w:type="dxa"/>
          </w:tcPr>
          <w:p w14:paraId="44AFEFB4">
            <w:pPr>
              <w:spacing w:before="120" w:after="120"/>
              <w:rPr>
                <w:rFonts w:ascii="Arial" w:hAnsi="Arial" w:eastAsia="Times New Roman" w:cs="Arial"/>
                <w:color w:val="000000"/>
                <w:sz w:val="18"/>
                <w:szCs w:val="18"/>
                <w:lang w:val="ru-RU" w:bidi="en-US"/>
              </w:rPr>
            </w:pPr>
          </w:p>
          <w:p w14:paraId="7142BAEC">
            <w:pPr>
              <w:spacing w:before="120" w:after="120"/>
              <w:rPr>
                <w:rFonts w:ascii="Arial" w:hAnsi="Arial" w:eastAsia="Times New Roman" w:cs="Arial"/>
                <w:sz w:val="18"/>
                <w:szCs w:val="18"/>
                <w:lang w:val="ru-RU" w:bidi="en-US"/>
              </w:rPr>
            </w:pPr>
            <w:r>
              <w:rPr>
                <w:rFonts w:ascii="Arial" w:hAnsi="Arial" w:eastAsia="Times New Roman" w:cs="Arial"/>
                <w:color w:val="000000"/>
                <w:sz w:val="18"/>
                <w:szCs w:val="18"/>
                <w:lang w:val="ru-RU" w:bidi="en-US"/>
              </w:rPr>
              <w:t>От Заказчика:</w:t>
            </w:r>
          </w:p>
          <w:p w14:paraId="604578DB">
            <w:pPr>
              <w:spacing w:before="120" w:after="120"/>
              <w:rPr>
                <w:rFonts w:ascii="Arial" w:hAnsi="Arial" w:eastAsia="Times New Roman" w:cs="Arial"/>
                <w:sz w:val="18"/>
                <w:szCs w:val="18"/>
                <w:lang w:val="ru-RU" w:bidi="en-US"/>
              </w:rPr>
            </w:pPr>
          </w:p>
          <w:p w14:paraId="66B8B269">
            <w:pPr>
              <w:spacing w:before="120" w:after="120"/>
              <w:rPr>
                <w:rFonts w:ascii="Arial" w:hAnsi="Arial" w:eastAsia="Times New Roman" w:cs="Arial"/>
                <w:color w:val="000000"/>
                <w:sz w:val="18"/>
                <w:szCs w:val="18"/>
                <w:lang w:val="ru-RU" w:bidi="en-US"/>
              </w:rPr>
            </w:pPr>
          </w:p>
          <w:p w14:paraId="511DBA08">
            <w:pPr>
              <w:spacing w:before="120" w:after="120"/>
              <w:rPr>
                <w:rFonts w:ascii="Arial" w:hAnsi="Arial" w:eastAsia="Times New Roman" w:cs="Arial"/>
                <w:sz w:val="18"/>
                <w:szCs w:val="18"/>
                <w:lang w:val="ru-RU" w:bidi="en-US"/>
              </w:rPr>
            </w:pPr>
            <w:r>
              <w:rPr>
                <w:rFonts w:ascii="Arial" w:hAnsi="Arial" w:eastAsia="Times New Roman" w:cs="Arial"/>
                <w:color w:val="000000"/>
                <w:sz w:val="18"/>
                <w:szCs w:val="18"/>
                <w:lang w:val="ru-RU" w:bidi="en-US"/>
              </w:rPr>
              <w:t xml:space="preserve">_____________________ </w:t>
            </w:r>
            <w:r>
              <w:rPr>
                <w:rFonts w:ascii="Arial" w:hAnsi="Arial" w:eastAsia="Times New Roman" w:cs="Arial"/>
                <w:color w:val="000000"/>
                <w:sz w:val="18"/>
                <w:szCs w:val="18"/>
                <w:highlight w:val="yellow"/>
                <w:lang w:val="ru-RU" w:bidi="en-US"/>
              </w:rPr>
              <w:t>{{client_signer_short_name}}</w:t>
            </w:r>
          </w:p>
          <w:p w14:paraId="5BC7A24B">
            <w:pPr>
              <w:spacing w:before="120" w:after="120"/>
              <w:rPr>
                <w:rFonts w:ascii="Arial" w:hAnsi="Arial" w:eastAsia="Times New Roman" w:cs="Arial"/>
                <w:color w:val="000000"/>
                <w:sz w:val="18"/>
                <w:szCs w:val="18"/>
                <w:lang w:val="ru-RU" w:bidi="en-US"/>
              </w:rPr>
            </w:pPr>
          </w:p>
          <w:p w14:paraId="10D87845">
            <w:pPr>
              <w:spacing w:before="120" w:after="120"/>
              <w:rPr>
                <w:rFonts w:ascii="Arial" w:hAnsi="Arial" w:eastAsia="Times New Roman" w:cs="Arial"/>
                <w:color w:val="000000"/>
                <w:sz w:val="18"/>
                <w:szCs w:val="18"/>
                <w:lang w:val="ru-RU" w:bidi="en-US"/>
              </w:rPr>
            </w:pPr>
            <w:r>
              <w:rPr>
                <w:rFonts w:eastAsiaTheme="majorEastAsia"/>
                <w:sz w:val="22"/>
                <w:szCs w:val="22"/>
                <w:highlight w:val="yellow"/>
                <w:lang w:val="en-US" w:bidi="en-US"/>
              </w:rPr>
              <w:t>{{client_signer_position}}</w:t>
            </w:r>
          </w:p>
          <w:p w14:paraId="62212E80">
            <w:pPr>
              <w:spacing w:before="120" w:after="120"/>
              <w:rPr>
                <w:rFonts w:ascii="Arial" w:hAnsi="Arial" w:eastAsia="Times New Roman" w:cs="Arial"/>
                <w:color w:val="000000"/>
                <w:sz w:val="18"/>
                <w:szCs w:val="18"/>
                <w:lang w:val="ru-RU" w:bidi="en-US"/>
              </w:rPr>
            </w:pPr>
            <w:r>
              <w:rPr>
                <w:rFonts w:ascii="Arial" w:hAnsi="Arial" w:eastAsia="Times New Roman" w:cs="Arial"/>
                <w:color w:val="000000"/>
                <w:sz w:val="18"/>
                <w:szCs w:val="18"/>
                <w:lang w:val="ru-RU" w:bidi="en-US"/>
              </w:rPr>
              <w:t>М. П.</w:t>
            </w:r>
          </w:p>
          <w:p w14:paraId="1497458F">
            <w:pPr>
              <w:spacing w:before="120" w:after="120"/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</w:pPr>
          </w:p>
        </w:tc>
        <w:tc>
          <w:tcPr>
            <w:tcW w:w="5095" w:type="dxa"/>
          </w:tcPr>
          <w:p w14:paraId="78AC5105">
            <w:pPr>
              <w:spacing w:before="120" w:after="120"/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</w:pPr>
          </w:p>
          <w:p w14:paraId="1CD87785">
            <w:pPr>
              <w:spacing w:before="120" w:after="120"/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</w:pP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t>От Исполнителя:</w:t>
            </w:r>
          </w:p>
          <w:p w14:paraId="2EC79D0E">
            <w:pPr>
              <w:spacing w:before="120" w:after="120"/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</w:pPr>
          </w:p>
          <w:p w14:paraId="722BEC89">
            <w:pPr>
              <w:spacing w:before="120" w:after="120"/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</w:pPr>
          </w:p>
          <w:p w14:paraId="03518202">
            <w:pPr>
              <w:spacing w:before="120" w:after="120"/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</w:pP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t>_____________________ Беликов Н.С.</w:t>
            </w:r>
          </w:p>
          <w:p w14:paraId="5EC9107D">
            <w:pPr>
              <w:spacing w:before="120" w:after="120"/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</w:pPr>
          </w:p>
          <w:p w14:paraId="6F49A645">
            <w:pPr>
              <w:spacing w:before="120" w:after="120"/>
              <w:rPr>
                <w:rFonts w:ascii="Arial" w:hAnsi="Arial" w:eastAsia="Times New Roman" w:cs="Arial"/>
                <w:color w:val="000000"/>
                <w:sz w:val="18"/>
                <w:szCs w:val="18"/>
                <w:lang w:val="ru-RU" w:bidi="en-US"/>
              </w:rPr>
            </w:pPr>
            <w:r>
              <w:rPr>
                <w:rFonts w:ascii="Arial" w:hAnsi="Arial" w:eastAsia="Times New Roman" w:cs="Arial"/>
                <w:color w:val="000000"/>
                <w:sz w:val="18"/>
                <w:szCs w:val="18"/>
                <w:lang w:val="ru-RU" w:bidi="en-US"/>
              </w:rPr>
              <w:t>Генеральный директор</w:t>
            </w:r>
          </w:p>
          <w:p w14:paraId="1B8711D1">
            <w:pPr>
              <w:spacing w:before="120" w:after="120"/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</w:pP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t>М. П.</w:t>
            </w:r>
          </w:p>
          <w:p w14:paraId="6021C1B8">
            <w:pPr>
              <w:spacing w:before="120" w:after="120"/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</w:pPr>
          </w:p>
        </w:tc>
      </w:tr>
    </w:tbl>
    <w:p w14:paraId="4F0F1909">
      <w:pPr>
        <w:spacing w:before="120" w:after="120"/>
        <w:rPr>
          <w:rFonts w:ascii="Arial" w:hAnsi="Arial" w:cs="Arial"/>
          <w:sz w:val="18"/>
          <w:szCs w:val="18"/>
        </w:rPr>
        <w:sectPr>
          <w:headerReference r:id="rId5" w:type="first"/>
          <w:footerReference r:id="rId8" w:type="first"/>
          <w:headerReference r:id="rId3" w:type="default"/>
          <w:footerReference r:id="rId6" w:type="default"/>
          <w:headerReference r:id="rId4" w:type="even"/>
          <w:footerReference r:id="rId7" w:type="even"/>
          <w:pgSz w:w="11900" w:h="16840"/>
          <w:pgMar w:top="1134" w:right="567" w:bottom="1134" w:left="1134" w:header="283" w:footer="284" w:gutter="0"/>
          <w:cols w:space="708" w:num="1"/>
          <w:docGrid w:linePitch="360" w:charSpace="0"/>
        </w:sectPr>
      </w:pPr>
    </w:p>
    <w:p w14:paraId="6D0803C3">
      <w:pPr>
        <w:spacing w:before="120" w:after="120"/>
        <w:jc w:val="righ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Приложение №1</w:t>
      </w:r>
    </w:p>
    <w:p w14:paraId="2FCC5ECA">
      <w:pPr>
        <w:spacing w:before="120" w:after="120"/>
        <w:jc w:val="righ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к договору №</w:t>
      </w:r>
      <w:r>
        <w:rPr>
          <w:rFonts w:ascii="Arial" w:hAnsi="Arial" w:cs="Arial"/>
          <w:sz w:val="18"/>
          <w:szCs w:val="18"/>
          <w:highlight w:val="yellow"/>
        </w:rPr>
        <w:t>{{contract_number}}</w:t>
      </w:r>
    </w:p>
    <w:p w14:paraId="4A795F81">
      <w:pPr>
        <w:spacing w:before="120" w:after="120"/>
        <w:jc w:val="right"/>
        <w:rPr>
          <w:rFonts w:ascii="Arial" w:hAnsi="Arial" w:cs="Arial"/>
          <w:b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 от </w:t>
      </w:r>
      <w:r>
        <w:rPr>
          <w:rFonts w:ascii="Arial" w:hAnsi="Arial" w:cs="Arial"/>
          <w:sz w:val="18"/>
          <w:szCs w:val="18"/>
          <w:highlight w:val="yellow"/>
        </w:rPr>
        <w:t>{{contract_date_text}}</w:t>
      </w:r>
    </w:p>
    <w:p w14:paraId="4A679A57">
      <w:pPr>
        <w:spacing w:before="120" w:after="120"/>
        <w:rPr>
          <w:rFonts w:ascii="Arial" w:hAnsi="Arial" w:cs="Arial"/>
          <w:sz w:val="18"/>
          <w:szCs w:val="18"/>
        </w:rPr>
      </w:pPr>
    </w:p>
    <w:tbl>
      <w:tblPr>
        <w:tblStyle w:val="27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43"/>
        <w:gridCol w:w="5272"/>
      </w:tblGrid>
      <w:tr w14:paraId="4C2082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9" w:type="pct"/>
          </w:tcPr>
          <w:p w14:paraId="26442549">
            <w:pPr>
              <w:pStyle w:val="25"/>
              <w:spacing w:before="120" w:beforeAutospacing="0" w:after="120" w:afterAutospacing="0"/>
              <w:rPr>
                <w:rFonts w:ascii="Arial" w:hAnsi="Arial" w:cs="Arial"/>
                <w:color w:val="000000"/>
                <w:sz w:val="18"/>
                <w:szCs w:val="18"/>
                <w:lang w:val="ru-RU" w:bidi="en-US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highlight w:val="yellow"/>
                <w:lang w:val="en-US" w:bidi="en-US"/>
              </w:rPr>
              <w:t>{{contract_city}}</w:t>
            </w:r>
          </w:p>
        </w:tc>
        <w:tc>
          <w:tcPr>
            <w:tcW w:w="2531" w:type="pct"/>
          </w:tcPr>
          <w:p w14:paraId="79A69B5F">
            <w:pPr>
              <w:pStyle w:val="25"/>
              <w:spacing w:before="120" w:beforeAutospacing="0" w:after="120" w:afterAutospacing="0"/>
              <w:rPr>
                <w:rFonts w:ascii="Arial" w:hAnsi="Arial" w:cs="Arial"/>
                <w:sz w:val="18"/>
                <w:szCs w:val="18"/>
                <w:lang w:val="ru-RU" w:bidi="en-US"/>
              </w:rPr>
            </w:pPr>
          </w:p>
        </w:tc>
      </w:tr>
    </w:tbl>
    <w:p w14:paraId="7B442EA7">
      <w:pPr>
        <w:pStyle w:val="25"/>
        <w:spacing w:before="120" w:beforeAutospacing="0" w:after="120" w:afterAutospacing="0"/>
        <w:rPr>
          <w:rFonts w:ascii="Arial" w:hAnsi="Arial" w:cs="Arial"/>
          <w:sz w:val="18"/>
          <w:szCs w:val="18"/>
        </w:rPr>
      </w:pPr>
      <w:r>
        <w:rPr>
          <w:rStyle w:val="65"/>
          <w:rFonts w:ascii="Arial" w:hAnsi="Arial" w:cs="Arial"/>
          <w:color w:val="000000"/>
          <w:sz w:val="18"/>
          <w:szCs w:val="18"/>
        </w:rPr>
        <w:tab/>
      </w:r>
      <w:r>
        <w:rPr>
          <w:rStyle w:val="65"/>
          <w:rFonts w:ascii="Arial" w:hAnsi="Arial" w:cs="Arial"/>
          <w:color w:val="000000"/>
          <w:sz w:val="18"/>
          <w:szCs w:val="18"/>
        </w:rPr>
        <w:tab/>
      </w:r>
      <w:r>
        <w:rPr>
          <w:rStyle w:val="65"/>
          <w:rFonts w:ascii="Arial" w:hAnsi="Arial" w:cs="Arial"/>
          <w:color w:val="000000"/>
          <w:sz w:val="18"/>
          <w:szCs w:val="18"/>
        </w:rPr>
        <w:tab/>
      </w:r>
      <w:r>
        <w:rPr>
          <w:rStyle w:val="65"/>
          <w:rFonts w:ascii="Arial" w:hAnsi="Arial" w:cs="Arial"/>
          <w:color w:val="000000"/>
          <w:sz w:val="18"/>
          <w:szCs w:val="18"/>
        </w:rPr>
        <w:tab/>
      </w:r>
      <w:r>
        <w:rPr>
          <w:rStyle w:val="65"/>
          <w:rFonts w:ascii="Arial" w:hAnsi="Arial" w:cs="Arial"/>
          <w:color w:val="000000"/>
          <w:sz w:val="18"/>
          <w:szCs w:val="18"/>
        </w:rPr>
        <w:tab/>
      </w:r>
    </w:p>
    <w:p w14:paraId="0CC588B0">
      <w:pPr>
        <w:spacing w:before="120" w:after="120"/>
        <w:jc w:val="both"/>
        <w:rPr>
          <w:rFonts w:ascii="Arial" w:hAnsi="Arial" w:cs="Arial"/>
          <w:bCs/>
          <w:sz w:val="18"/>
          <w:szCs w:val="18"/>
        </w:rPr>
      </w:pPr>
      <w:r>
        <w:t xml:space="preserve">ООО «Юнитех», в лице Генерального директора Беликова Никиты Сергеевича, действующего на основании Устава с одной стороны, именуемое в дальнейшем «Исполнитель» и </w:t>
      </w:r>
      <w:r>
        <w:rPr>
          <w:highlight w:val="yellow"/>
        </w:rPr>
        <w:t>{{client_name}}</w:t>
      </w:r>
      <w:r>
        <w:t xml:space="preserve">,  именуемое в дальнейшем «Заказчик», в лице </w:t>
      </w:r>
      <w:r>
        <w:rPr>
          <w:highlight w:val="yellow"/>
        </w:rPr>
        <w:t>{{client_signer_position_genitive}}</w:t>
      </w:r>
      <w:r>
        <w:t xml:space="preserve"> </w:t>
      </w:r>
      <w:r>
        <w:rPr>
          <w:highlight w:val="yellow"/>
        </w:rPr>
        <w:t>{{client_signer_genitive_name}}</w:t>
      </w:r>
      <w:r>
        <w:t>, действующего на основании Устава, именуемый в дальнейшем «Заказчик», с другой стороны, именуемые в дальнейшем «Стороны», заключили настоящее Приложение (в дальнейшем «Приложение») к Договору №</w:t>
      </w:r>
      <w:r>
        <w:rPr>
          <w:highlight w:val="yellow"/>
        </w:rPr>
        <w:t>{{contract_number}}</w:t>
      </w:r>
      <w:r>
        <w:t xml:space="preserve"> от </w:t>
      </w:r>
      <w:r>
        <w:rPr>
          <w:highlight w:val="yellow"/>
        </w:rPr>
        <w:t>{{contract_date_text}}</w:t>
      </w:r>
      <w:r>
        <w:t xml:space="preserve"> о нижеследующем:</w:t>
      </w:r>
    </w:p>
    <w:p w14:paraId="564A9289">
      <w:pPr>
        <w:pStyle w:val="25"/>
        <w:spacing w:before="120" w:beforeAutospacing="0" w:after="120" w:afterAutospacing="0"/>
        <w:rPr>
          <w:rFonts w:ascii="Arial" w:hAnsi="Arial" w:cs="Arial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</w:p>
    <w:p w14:paraId="7B63679C">
      <w:pPr>
        <w:pStyle w:val="54"/>
        <w:numPr>
          <w:ilvl w:val="0"/>
          <w:numId w:val="8"/>
        </w:numPr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Предмет приложения</w:t>
      </w:r>
    </w:p>
    <w:p w14:paraId="61A5289F">
      <w:pPr>
        <w:pStyle w:val="54"/>
        <w:numPr>
          <w:ilvl w:val="0"/>
          <w:numId w:val="0"/>
        </w:numPr>
        <w:shd w:val="clear" w:color="auto" w:fill="auto"/>
        <w:spacing w:before="120" w:after="120"/>
        <w:jc w:val="left"/>
        <w:rPr>
          <w:rFonts w:ascii="Arial" w:hAnsi="Arial" w:cs="Arial"/>
          <w:szCs w:val="18"/>
        </w:rPr>
      </w:pPr>
    </w:p>
    <w:p w14:paraId="4BBB74B1">
      <w:pPr>
        <w:pStyle w:val="35"/>
        <w:numPr>
          <w:ilvl w:val="1"/>
          <w:numId w:val="7"/>
        </w:numPr>
        <w:tabs>
          <w:tab w:val="left" w:pos="36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Предметом Приложения является оказание Исполнителем услуг Заказчику по разработке, адаптации и модификации программ для ЭВМ на платформе “</w:t>
      </w:r>
      <w:r>
        <w:rPr>
          <w:rFonts w:ascii="Arial" w:hAnsi="Arial" w:cs="Arial"/>
          <w:szCs w:val="18"/>
          <w:highlight w:val="green"/>
        </w:rPr>
        <w:t>Битрикс24</w:t>
      </w:r>
      <w:r>
        <w:rPr>
          <w:rFonts w:ascii="Arial" w:hAnsi="Arial" w:cs="Arial"/>
          <w:szCs w:val="18"/>
        </w:rPr>
        <w:t>”.</w:t>
      </w:r>
    </w:p>
    <w:p w14:paraId="614E9001">
      <w:pPr>
        <w:pStyle w:val="35"/>
        <w:numPr>
          <w:ilvl w:val="1"/>
          <w:numId w:val="7"/>
        </w:numPr>
        <w:tabs>
          <w:tab w:val="left" w:pos="36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Детализация Услуг по Этапу 1 настоящего Приложения представлена в следующей таблице:</w:t>
      </w:r>
    </w:p>
    <w:p w14:paraId="4B83A510">
      <w:pPr>
        <w:pStyle w:val="35"/>
        <w:numPr>
          <w:ilvl w:val="0"/>
          <w:numId w:val="0"/>
        </w:numPr>
        <w:tabs>
          <w:tab w:val="left" w:pos="360"/>
          <w:tab w:val="clear" w:pos="1276"/>
        </w:tabs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60A57E92">
      <w:pPr>
        <w:pStyle w:val="35"/>
        <w:numPr>
          <w:ilvl w:val="0"/>
          <w:numId w:val="0"/>
        </w:numPr>
        <w:tabs>
          <w:tab w:val="left" w:pos="360"/>
          <w:tab w:val="clear" w:pos="1276"/>
        </w:tabs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78A23B19">
      <w:pPr>
        <w:pStyle w:val="35"/>
        <w:numPr>
          <w:ilvl w:val="0"/>
          <w:numId w:val="0"/>
        </w:numPr>
        <w:tabs>
          <w:tab w:val="left" w:pos="360"/>
          <w:tab w:val="clear" w:pos="1276"/>
        </w:tabs>
        <w:spacing w:before="120" w:after="120"/>
        <w:ind w:right="0"/>
        <w:jc w:val="left"/>
        <w:rPr>
          <w:rFonts w:ascii="Arial" w:hAnsi="Arial" w:cs="Arial"/>
          <w:szCs w:val="18"/>
        </w:rPr>
      </w:pPr>
    </w:p>
    <w:tbl>
      <w:tblPr>
        <w:tblStyle w:val="73"/>
        <w:tblW w:w="4940" w:type="pct"/>
        <w:tblInd w:w="0" w:type="dxa"/>
        <w:tblBorders>
          <w:top w:val="single" w:color="BEBEBE" w:themeColor="background1" w:themeShade="BF" w:sz="4" w:space="0"/>
          <w:left w:val="single" w:color="BEBEBE" w:themeColor="background1" w:themeShade="BF" w:sz="4" w:space="0"/>
          <w:bottom w:val="single" w:color="BEBEBE" w:themeColor="background1" w:themeShade="BF" w:sz="4" w:space="0"/>
          <w:right w:val="single" w:color="BEBEBE" w:themeColor="background1" w:themeShade="BF" w:sz="4" w:space="0"/>
          <w:insideH w:val="single" w:color="BEBEBE" w:themeColor="background1" w:themeShade="BF" w:sz="4" w:space="0"/>
          <w:insideV w:val="single" w:color="BEBEBE" w:themeColor="background1" w:themeShade="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8"/>
        <w:gridCol w:w="3561"/>
        <w:gridCol w:w="3431"/>
      </w:tblGrid>
      <w:tr w14:paraId="278D9E7C"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220" w:type="pct"/>
            <w:shd w:val="clear" w:color="auto" w:fill="95B3D7" w:themeFill="accent1" w:themeFillTint="99"/>
          </w:tcPr>
          <w:p w14:paraId="6FEF7638">
            <w:pPr>
              <w:spacing w:before="120" w:after="120"/>
              <w:contextualSpacing/>
              <w:rPr>
                <w:rFonts w:ascii="Arial" w:hAnsi="Arial" w:cs="Arial"/>
                <w:bCs/>
                <w:caps/>
                <w:sz w:val="18"/>
                <w:szCs w:val="18"/>
              </w:rPr>
            </w:pPr>
            <w:r>
              <w:rPr>
                <w:rFonts w:ascii="Arial" w:hAnsi="Arial" w:cs="Arial"/>
                <w:bCs/>
                <w:caps/>
                <w:sz w:val="18"/>
                <w:szCs w:val="18"/>
              </w:rPr>
              <w:t>№</w:t>
            </w:r>
          </w:p>
        </w:tc>
        <w:tc>
          <w:tcPr>
            <w:tcW w:w="3423" w:type="pct"/>
            <w:shd w:val="clear" w:color="auto" w:fill="95B3D7" w:themeFill="accent1" w:themeFillTint="99"/>
          </w:tcPr>
          <w:p w14:paraId="4688994B">
            <w:pPr>
              <w:spacing w:before="120" w:after="120"/>
              <w:contextualSpacing/>
              <w:jc w:val="center"/>
              <w:rPr>
                <w:rFonts w:ascii="Arial" w:hAnsi="Arial" w:cs="Arial"/>
                <w:bCs/>
                <w:caps/>
                <w:sz w:val="18"/>
                <w:szCs w:val="18"/>
              </w:rPr>
            </w:pPr>
          </w:p>
          <w:p w14:paraId="5944A76E">
            <w:pPr>
              <w:spacing w:before="120" w:after="120"/>
              <w:contextualSpacing/>
              <w:jc w:val="center"/>
              <w:rPr>
                <w:rFonts w:ascii="Arial" w:hAnsi="Arial" w:cs="Arial"/>
                <w:bCs/>
                <w:caps/>
                <w:sz w:val="18"/>
                <w:szCs w:val="18"/>
              </w:rPr>
            </w:pPr>
          </w:p>
          <w:p w14:paraId="7CFFDEF0">
            <w:pPr>
              <w:spacing w:before="120" w:after="120"/>
              <w:contextualSpacing/>
              <w:jc w:val="center"/>
              <w:rPr>
                <w:rFonts w:ascii="Arial" w:hAnsi="Arial" w:cs="Arial"/>
                <w:bCs/>
                <w:caps/>
                <w:sz w:val="18"/>
                <w:szCs w:val="18"/>
              </w:rPr>
            </w:pPr>
            <w:r>
              <w:rPr>
                <w:rFonts w:ascii="Arial" w:hAnsi="Arial" w:cs="Arial"/>
                <w:bCs/>
                <w:caps/>
                <w:sz w:val="18"/>
                <w:szCs w:val="18"/>
              </w:rPr>
              <w:t>Наименование работы</w:t>
            </w:r>
          </w:p>
        </w:tc>
        <w:tc>
          <w:tcPr>
            <w:tcW w:w="1357" w:type="pct"/>
            <w:shd w:val="clear" w:color="auto" w:fill="95B3D7" w:themeFill="accent1" w:themeFillTint="99"/>
          </w:tcPr>
          <w:p w14:paraId="0BB9B5B4">
            <w:pPr>
              <w:spacing w:before="120" w:after="120"/>
              <w:contextualSpacing/>
              <w:rPr>
                <w:rFonts w:ascii="Arial" w:hAnsi="Arial" w:cs="Arial"/>
                <w:bCs/>
                <w:caps/>
                <w:sz w:val="18"/>
                <w:szCs w:val="18"/>
              </w:rPr>
            </w:pPr>
          </w:p>
          <w:p w14:paraId="6AEE508A">
            <w:pPr>
              <w:spacing w:before="120" w:after="120"/>
              <w:contextualSpacing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Стоимость работ,</w:t>
            </w:r>
          </w:p>
          <w:p w14:paraId="7B49D504">
            <w:pPr>
              <w:spacing w:before="120" w:after="120"/>
              <w:contextualSpacing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без НДС</w:t>
            </w:r>
          </w:p>
          <w:p w14:paraId="09C9C598">
            <w:pPr>
              <w:spacing w:before="120" w:after="120"/>
              <w:contextualSpacing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(рублей)</w:t>
            </w:r>
          </w:p>
          <w:p w14:paraId="58A46E62">
            <w:pPr>
              <w:spacing w:before="120" w:after="120"/>
              <w:contextualSpacing/>
              <w:rPr>
                <w:rFonts w:ascii="Arial" w:hAnsi="Arial" w:cs="Arial"/>
                <w:bCs/>
                <w:caps/>
                <w:sz w:val="18"/>
                <w:szCs w:val="18"/>
              </w:rPr>
            </w:pPr>
          </w:p>
        </w:tc>
      </w:tr>
      <w:tr w14:paraId="7C404041"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220" w:type="pct"/>
            <w:vMerge w:val="restart"/>
          </w:tcPr>
          <w:p w14:paraId="0F3EA774">
            <w:r>
              <w:rPr>
                <w:highlight w:val="yellow"/>
              </w:rPr>
              <w:t>{{#estimate_works}}{{index}}</w:t>
            </w:r>
          </w:p>
        </w:tc>
        <w:tc>
          <w:tcPr>
            <w:tcW w:w="3423" w:type="pct"/>
          </w:tcPr>
          <w:p w14:paraId="0D97E2E0">
            <w:r>
              <w:rPr>
                <w:highlight w:val="yellow"/>
              </w:rPr>
              <w:t>{{name}}</w:t>
            </w:r>
          </w:p>
        </w:tc>
        <w:tc>
          <w:tcPr>
            <w:tcW w:w="1357" w:type="pct"/>
            <w:vMerge w:val="restart"/>
            <w:vAlign w:val="center"/>
          </w:tcPr>
          <w:p w14:paraId="011FB2D1">
            <w:r>
              <w:rPr>
                <w:highlight w:val="yellow"/>
              </w:rPr>
              <w:t>{{amount}}{{/estimate_works}}</w:t>
            </w:r>
          </w:p>
        </w:tc>
      </w:tr>
      <w:tr w14:paraId="5B6BF55A"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9" w:hRule="atLeast"/>
        </w:trPr>
        <w:tc>
          <w:tcPr>
            <w:tcW w:w="3643" w:type="pct"/>
            <w:gridSpan w:val="2"/>
            <w:vAlign w:val="center"/>
          </w:tcPr>
          <w:p w14:paraId="11EAABF5">
            <w:r>
              <w:t>ИТОГО</w:t>
            </w:r>
          </w:p>
        </w:tc>
        <w:tc>
          <w:tcPr>
            <w:tcW w:w="1357" w:type="pct"/>
            <w:vAlign w:val="center"/>
          </w:tcPr>
          <w:p w14:paraId="2B2C9DE6">
            <w:r>
              <w:rPr>
                <w:highlight w:val="yellow"/>
              </w:rPr>
              <w:t>{{estimate_total_amount}}</w:t>
            </w:r>
          </w:p>
        </w:tc>
      </w:tr>
    </w:tbl>
    <w:p w14:paraId="64E50292">
      <w:pPr>
        <w:pStyle w:val="35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11850B54">
      <w:pPr>
        <w:pStyle w:val="57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6B3693BD">
      <w:pPr>
        <w:pStyle w:val="57"/>
        <w:numPr>
          <w:ilvl w:val="0"/>
          <w:numId w:val="0"/>
        </w:numPr>
        <w:spacing w:before="120" w:after="120"/>
        <w:ind w:right="0"/>
        <w:jc w:val="left"/>
        <w:rPr>
          <w:rFonts w:ascii="Arial" w:hAnsi="Arial" w:cs="Arial"/>
          <w:szCs w:val="18"/>
        </w:rPr>
      </w:pPr>
    </w:p>
    <w:p w14:paraId="327F49A3">
      <w:pPr>
        <w:pStyle w:val="54"/>
        <w:numPr>
          <w:ilvl w:val="0"/>
          <w:numId w:val="7"/>
        </w:numPr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Стоимость услуг и порядок расчетов</w:t>
      </w:r>
    </w:p>
    <w:p w14:paraId="7DF44C34">
      <w:pPr>
        <w:pStyle w:val="54"/>
        <w:numPr>
          <w:ilvl w:val="0"/>
          <w:numId w:val="0"/>
        </w:numPr>
        <w:shd w:val="clear" w:color="auto" w:fill="auto"/>
        <w:spacing w:before="120" w:after="120"/>
        <w:jc w:val="left"/>
        <w:rPr>
          <w:rFonts w:ascii="Arial" w:hAnsi="Arial" w:cs="Arial"/>
          <w:szCs w:val="18"/>
        </w:rPr>
      </w:pPr>
    </w:p>
    <w:p w14:paraId="628007FB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2.1. Общая стоимость услуг Исполнителя по настоящему Приложению составляет </w:t>
      </w:r>
      <w:r>
        <w:rPr>
          <w:rFonts w:ascii="Arial" w:hAnsi="Arial" w:cs="Arial"/>
          <w:szCs w:val="18"/>
          <w:highlight w:val="yellow"/>
        </w:rPr>
        <w:t>{{amount_number}}</w:t>
      </w:r>
      <w:r>
        <w:rPr>
          <w:rFonts w:ascii="Arial" w:hAnsi="Arial" w:cs="Arial"/>
          <w:szCs w:val="18"/>
        </w:rPr>
        <w:t xml:space="preserve"> (</w:t>
      </w:r>
      <w:r>
        <w:rPr>
          <w:rFonts w:ascii="Arial" w:hAnsi="Arial" w:cs="Arial"/>
          <w:szCs w:val="18"/>
          <w:highlight w:val="yellow"/>
        </w:rPr>
        <w:t>{{amount_text}}</w:t>
      </w:r>
      <w:r>
        <w:rPr>
          <w:rFonts w:ascii="Arial" w:hAnsi="Arial" w:cs="Arial"/>
          <w:szCs w:val="18"/>
        </w:rPr>
        <w:t>) рублей 00 копеек, без учёта НДС, в связи с применением Исполнителем упрощённой системы налогообложения (гл. 26.2 НК РФ).</w:t>
      </w:r>
    </w:p>
    <w:p w14:paraId="14749952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2.2. Оплата услуг осуществляется в следующем порядке:</w:t>
      </w:r>
    </w:p>
    <w:p w14:paraId="1BAA72FE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Первый платёж (предоплата) — </w:t>
      </w:r>
      <w:r>
        <w:rPr>
          <w:rFonts w:ascii="Arial" w:hAnsi="Arial" w:cs="Arial"/>
          <w:szCs w:val="18"/>
          <w:highlight w:val="yellow"/>
        </w:rPr>
        <w:t>{{prepayment_percent}}</w:t>
      </w:r>
      <w:r>
        <w:rPr>
          <w:rFonts w:ascii="Arial" w:hAnsi="Arial" w:cs="Arial"/>
          <w:szCs w:val="18"/>
        </w:rPr>
        <w:t xml:space="preserve">% от общей стоимости услуг, что составляет </w:t>
      </w:r>
      <w:r>
        <w:rPr>
          <w:rFonts w:ascii="Arial" w:hAnsi="Arial" w:cs="Arial"/>
          <w:szCs w:val="18"/>
          <w:highlight w:val="yellow"/>
        </w:rPr>
        <w:t>{{prepayment_amount}}</w:t>
      </w:r>
      <w:r>
        <w:rPr>
          <w:rFonts w:ascii="Arial" w:hAnsi="Arial" w:cs="Arial"/>
          <w:szCs w:val="18"/>
        </w:rPr>
        <w:t xml:space="preserve"> (</w:t>
      </w:r>
      <w:r>
        <w:rPr>
          <w:rFonts w:ascii="Arial" w:hAnsi="Arial" w:cs="Arial"/>
          <w:szCs w:val="18"/>
          <w:highlight w:val="yellow"/>
        </w:rPr>
        <w:t>{{prepayment_amount_text}}</w:t>
      </w:r>
      <w:r>
        <w:rPr>
          <w:rFonts w:ascii="Arial" w:hAnsi="Arial" w:cs="Arial"/>
          <w:szCs w:val="18"/>
        </w:rPr>
        <w:t>) рублей 00 копеек, без учёта НДС. Оплата производится Заказчиком в течение трёх (3) рабочих дней с даты подписания настоящего Приложения.</w:t>
      </w:r>
    </w:p>
    <w:p w14:paraId="6CD9D05E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Второй платёж (окончательный расчёт) — </w:t>
      </w:r>
      <w:r>
        <w:rPr>
          <w:rFonts w:ascii="Arial" w:hAnsi="Arial" w:cs="Arial"/>
          <w:szCs w:val="18"/>
          <w:highlight w:val="yellow"/>
        </w:rPr>
        <w:t>{{postpayment_percent}}</w:t>
      </w:r>
      <w:r>
        <w:rPr>
          <w:rFonts w:ascii="Arial" w:hAnsi="Arial" w:cs="Arial"/>
          <w:szCs w:val="18"/>
        </w:rPr>
        <w:t xml:space="preserve">% от общей стоимости услуг, что составляет </w:t>
      </w:r>
      <w:r>
        <w:rPr>
          <w:rFonts w:ascii="Arial" w:hAnsi="Arial" w:cs="Arial"/>
          <w:szCs w:val="18"/>
          <w:highlight w:val="yellow"/>
        </w:rPr>
        <w:t>{{postpayment_amount}}</w:t>
      </w:r>
      <w:r>
        <w:rPr>
          <w:rFonts w:ascii="Arial" w:hAnsi="Arial" w:cs="Arial"/>
          <w:szCs w:val="18"/>
        </w:rPr>
        <w:t xml:space="preserve"> (</w:t>
      </w:r>
      <w:r>
        <w:rPr>
          <w:rFonts w:ascii="Arial" w:hAnsi="Arial" w:cs="Arial"/>
          <w:szCs w:val="18"/>
          <w:highlight w:val="yellow"/>
        </w:rPr>
        <w:t>{{postpayment_amount_text}}</w:t>
      </w:r>
      <w:r>
        <w:rPr>
          <w:rFonts w:ascii="Arial" w:hAnsi="Arial" w:cs="Arial"/>
          <w:szCs w:val="18"/>
        </w:rPr>
        <w:t>) рублей 00 копеек, без учёта НДС. Оплата производится Заказчиком в течение трёх (3) рабочих дней после подписания Акта сдачи-приёмки оказанных услуг по проекту.</w:t>
      </w:r>
    </w:p>
    <w:p w14:paraId="54AE1F35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2.3. Исполнитель приступает к оказанию услуг </w:t>
      </w:r>
      <w:r>
        <w:rPr>
          <w:rStyle w:val="16"/>
          <w:rFonts w:ascii="Arial" w:hAnsi="Arial" w:cs="Arial"/>
          <w:szCs w:val="18"/>
        </w:rPr>
        <w:t>после поступления первого платежа (предоплаты)</w:t>
      </w:r>
      <w:r>
        <w:rPr>
          <w:rFonts w:ascii="Arial" w:hAnsi="Arial" w:cs="Arial"/>
          <w:szCs w:val="18"/>
        </w:rPr>
        <w:t xml:space="preserve"> на расчётный счёт Исполнителя. Невнесение предоплаты в установленный срок приостанавливает начало оказания услуг до момента оплаты, при этом общий срок оказания услуг автоматически сдвигается на период просрочки.</w:t>
      </w:r>
    </w:p>
    <w:p w14:paraId="64ACB5C0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2.4. В случае задержки оплаты второго платежа Исполнитель вправе приостановить оказание услуг и не обязан передавать результаты работ и доступы до момента поступления полной оплаты. Сроки выполнения работ при этом продлеваются на количество дней просрочки.</w:t>
      </w:r>
    </w:p>
    <w:p w14:paraId="3848DF2D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2.5. Срок оказания услуг по настоящему Приложению составляет </w:t>
      </w:r>
      <w:r>
        <w:rPr>
          <w:rFonts w:ascii="Arial" w:hAnsi="Arial" w:cs="Arial"/>
          <w:szCs w:val="18"/>
          <w:highlight w:val="yellow"/>
        </w:rPr>
        <w:t>{{service_period_text}}</w:t>
      </w:r>
      <w:r>
        <w:rPr>
          <w:rFonts w:ascii="Arial" w:hAnsi="Arial" w:cs="Arial"/>
          <w:szCs w:val="18"/>
        </w:rPr>
        <w:t xml:space="preserve"> с даты подписания утверждённого технического задания (ТЗ), если иное не согласовано Сторонами письменно.</w:t>
      </w:r>
    </w:p>
    <w:p w14:paraId="74EE3B6D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2.6. Разработка и согласование Технического задания (ТЗ) осуществляется в течение </w:t>
      </w:r>
      <w:r>
        <w:rPr>
          <w:rFonts w:ascii="Arial" w:hAnsi="Arial" w:cs="Arial"/>
          <w:szCs w:val="18"/>
          <w:highlight w:val="yellow"/>
        </w:rPr>
        <w:t>{{tz_period_text}}</w:t>
      </w:r>
      <w:r>
        <w:rPr>
          <w:rFonts w:ascii="Arial" w:hAnsi="Arial" w:cs="Arial"/>
          <w:szCs w:val="18"/>
        </w:rPr>
        <w:t xml:space="preserve"> с даты заключения Договора. Срок разработки и согласования ТЗ может быть увеличен в следующих случаях:</w:t>
      </w:r>
    </w:p>
    <w:p w14:paraId="4F36F40B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after="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— по инициативе Заказчика (расширение объёма, изменение требований, доработка структуры);</w:t>
      </w:r>
    </w:p>
    <w:p w14:paraId="794E6131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after="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— при задержке предоставления исходных материалов, данных или доступов;</w:t>
      </w:r>
    </w:p>
    <w:p w14:paraId="18584543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after="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— при несвоевременном согласовании промежуточных материалов Заказчиком;</w:t>
      </w:r>
    </w:p>
    <w:p w14:paraId="3F1DFE09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after="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— при наступлении обстоятельств непреодолимой силы (форс-мажора).</w:t>
      </w:r>
    </w:p>
    <w:p w14:paraId="357EB205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2.7. Исполнитель приступает к реализации согласованного ТЗ </w:t>
      </w:r>
      <w:r>
        <w:rPr>
          <w:rStyle w:val="16"/>
          <w:rFonts w:ascii="Arial" w:hAnsi="Arial" w:cs="Arial"/>
          <w:szCs w:val="18"/>
        </w:rPr>
        <w:t>только после его письменного утверждения Заказчиком</w:t>
      </w:r>
      <w:r>
        <w:rPr>
          <w:rFonts w:ascii="Arial" w:hAnsi="Arial" w:cs="Arial"/>
          <w:szCs w:val="18"/>
        </w:rPr>
        <w:t xml:space="preserve"> (электронной почтой или подписанием документа). </w:t>
      </w:r>
    </w:p>
    <w:p w14:paraId="538C6577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after="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Если утверждение ТЗ происходит позднее </w:t>
      </w:r>
      <w:r>
        <w:rPr>
          <w:rFonts w:ascii="Arial" w:hAnsi="Arial" w:cs="Arial"/>
          <w:szCs w:val="18"/>
          <w:highlight w:val="green"/>
        </w:rPr>
        <w:t>14</w:t>
      </w:r>
      <w:r>
        <w:rPr>
          <w:rFonts w:ascii="Arial" w:hAnsi="Arial" w:cs="Arial"/>
          <w:szCs w:val="18"/>
        </w:rPr>
        <w:t>-дневного срока, предусмотренного п. 2.6, общий срок оказания услуг по проекту продлевается на соответствующее количество дней задержки.</w:t>
      </w:r>
    </w:p>
    <w:p w14:paraId="70FBB54C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2.8. </w:t>
      </w:r>
      <w:r>
        <w:rPr>
          <w:rStyle w:val="16"/>
          <w:rFonts w:ascii="Arial" w:hAnsi="Arial" w:cs="Arial"/>
          <w:szCs w:val="18"/>
        </w:rPr>
        <w:t>Срок оказания технической поддержки</w:t>
      </w:r>
      <w:r>
        <w:rPr>
          <w:rFonts w:ascii="Arial" w:hAnsi="Arial" w:cs="Arial"/>
          <w:szCs w:val="18"/>
        </w:rPr>
        <w:t xml:space="preserve"> составляет </w:t>
      </w:r>
      <w:r>
        <w:rPr>
          <w:rFonts w:ascii="Arial" w:hAnsi="Arial" w:cs="Arial"/>
          <w:szCs w:val="18"/>
          <w:highlight w:val="yellow"/>
        </w:rPr>
        <w:t>{{warranty_period_text}}</w:t>
      </w:r>
      <w:r>
        <w:rPr>
          <w:rFonts w:ascii="Arial" w:hAnsi="Arial" w:cs="Arial"/>
          <w:szCs w:val="18"/>
        </w:rPr>
        <w:t xml:space="preserve"> с момента подписания акта сдачи-приёмки оказанных услуг по текущему проекту.</w:t>
      </w:r>
    </w:p>
    <w:p w14:paraId="3289D461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Поддержка осуществляется удалённо, в рабочие дни с 10:00 до 19:00 по МСК, в порядке, установленном Договором и SLA (если согласовано дополнительно).</w:t>
      </w:r>
    </w:p>
    <w:p w14:paraId="0B8232BD">
      <w:pPr>
        <w:pStyle w:val="54"/>
        <w:numPr>
          <w:ilvl w:val="0"/>
          <w:numId w:val="7"/>
        </w:numPr>
        <w:shd w:val="clear" w:color="auto" w:fill="auto"/>
        <w:spacing w:before="120" w:after="120"/>
        <w:ind w:left="0" w:firstLine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Порядок приемки услуг по настоящему приложению</w:t>
      </w:r>
    </w:p>
    <w:p w14:paraId="07A749F1">
      <w:pPr>
        <w:pStyle w:val="54"/>
        <w:numPr>
          <w:ilvl w:val="0"/>
          <w:numId w:val="0"/>
        </w:numPr>
        <w:shd w:val="clear" w:color="auto" w:fill="auto"/>
        <w:spacing w:before="120" w:after="120"/>
        <w:jc w:val="left"/>
        <w:rPr>
          <w:rFonts w:hint="default" w:ascii="Arial" w:hAnsi="Arial" w:cs="Arial"/>
          <w:szCs w:val="18"/>
          <w:lang w:val="en-US"/>
        </w:rPr>
      </w:pPr>
    </w:p>
    <w:p w14:paraId="2DA0B404">
      <w:pPr>
        <w:pStyle w:val="35"/>
        <w:numPr>
          <w:ilvl w:val="0"/>
          <w:numId w:val="0"/>
        </w:numPr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3.1 По каждому из Этапов работ Заказчик и Исполнитель подписывают отдельный Акт сдачи-приёмки оказанных услуг в порядке, предусмотренном </w:t>
      </w:r>
      <w:r>
        <w:rPr>
          <w:rStyle w:val="16"/>
          <w:rFonts w:ascii="Arial" w:hAnsi="Arial" w:cs="Arial"/>
          <w:b w:val="0"/>
          <w:bCs w:val="0"/>
          <w:szCs w:val="18"/>
        </w:rPr>
        <w:t>разделом 4 Договора</w:t>
      </w:r>
      <w:r>
        <w:rPr>
          <w:rFonts w:ascii="Arial" w:hAnsi="Arial" w:cs="Arial"/>
          <w:szCs w:val="18"/>
        </w:rPr>
        <w:t>.</w:t>
      </w:r>
    </w:p>
    <w:p w14:paraId="2F23ACD7">
      <w:pPr>
        <w:pStyle w:val="35"/>
        <w:numPr>
          <w:ilvl w:val="0"/>
          <w:numId w:val="0"/>
        </w:numPr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3.2 Акт может быть направлен Заказчику в электронном виде (по e-mail, через ЭДО или иные согласованные каналы связи).</w:t>
      </w:r>
    </w:p>
    <w:p w14:paraId="01AA75A3">
      <w:pPr>
        <w:pStyle w:val="35"/>
        <w:numPr>
          <w:ilvl w:val="0"/>
          <w:numId w:val="0"/>
        </w:numPr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3.3 Заказчик обязан в течение </w:t>
      </w:r>
      <w:r>
        <w:rPr>
          <w:rStyle w:val="16"/>
          <w:rFonts w:ascii="Arial" w:hAnsi="Arial" w:cs="Arial"/>
          <w:b w:val="0"/>
          <w:bCs w:val="0"/>
          <w:szCs w:val="18"/>
        </w:rPr>
        <w:t>пяти (5) рабочих дней</w:t>
      </w:r>
      <w:r>
        <w:rPr>
          <w:rFonts w:ascii="Arial" w:hAnsi="Arial" w:cs="Arial"/>
          <w:szCs w:val="18"/>
        </w:rPr>
        <w:t xml:space="preserve"> с момента получения Акта либо подписать его, либо направить Исполнителю </w:t>
      </w:r>
      <w:r>
        <w:rPr>
          <w:rStyle w:val="16"/>
          <w:rFonts w:ascii="Arial" w:hAnsi="Arial" w:cs="Arial"/>
          <w:b w:val="0"/>
          <w:bCs w:val="0"/>
          <w:szCs w:val="18"/>
        </w:rPr>
        <w:t>мотивированный отказ</w:t>
      </w:r>
      <w:r>
        <w:rPr>
          <w:rFonts w:ascii="Arial" w:hAnsi="Arial" w:cs="Arial"/>
          <w:szCs w:val="18"/>
        </w:rPr>
        <w:t>, содержащий полный и непротиворечивый перечень замечаний.</w:t>
      </w:r>
    </w:p>
    <w:p w14:paraId="192FEE8B">
      <w:pPr>
        <w:pStyle w:val="35"/>
        <w:numPr>
          <w:ilvl w:val="0"/>
          <w:numId w:val="0"/>
        </w:numPr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3.4 Если в указанный срок Заказчик не направил подписанный Акт либо мотивированный отказ, работы по соответствующему Этапу считаются </w:t>
      </w:r>
      <w:r>
        <w:rPr>
          <w:rStyle w:val="16"/>
          <w:rFonts w:ascii="Arial" w:hAnsi="Arial" w:cs="Arial"/>
          <w:b w:val="0"/>
          <w:bCs w:val="0"/>
          <w:szCs w:val="18"/>
        </w:rPr>
        <w:t>принятыми в полном объёме без замечаний</w:t>
      </w:r>
      <w:r>
        <w:rPr>
          <w:rFonts w:ascii="Arial" w:hAnsi="Arial" w:cs="Arial"/>
          <w:szCs w:val="18"/>
        </w:rPr>
        <w:t xml:space="preserve">, и Исполнитель вправе оформить </w:t>
      </w:r>
      <w:r>
        <w:rPr>
          <w:rStyle w:val="16"/>
          <w:rFonts w:ascii="Arial" w:hAnsi="Arial" w:cs="Arial"/>
          <w:b w:val="0"/>
          <w:bCs w:val="0"/>
          <w:szCs w:val="18"/>
        </w:rPr>
        <w:t>Акт сдачи-приёмки в одностороннем порядке</w:t>
      </w:r>
      <w:r>
        <w:rPr>
          <w:rFonts w:ascii="Arial" w:hAnsi="Arial" w:cs="Arial"/>
          <w:szCs w:val="18"/>
        </w:rPr>
        <w:t>.</w:t>
      </w:r>
    </w:p>
    <w:p w14:paraId="3F71DF58">
      <w:pPr>
        <w:pStyle w:val="35"/>
        <w:numPr>
          <w:ilvl w:val="0"/>
          <w:numId w:val="0"/>
        </w:numPr>
        <w:spacing w:before="120" w:after="120"/>
        <w:ind w:right="0" w:firstLine="720"/>
        <w:rPr>
          <w:rStyle w:val="16"/>
          <w:rFonts w:ascii="Arial" w:hAnsi="Arial" w:cs="Arial"/>
          <w:b w:val="0"/>
          <w:bCs w:val="0"/>
          <w:szCs w:val="18"/>
        </w:rPr>
      </w:pPr>
      <w:r>
        <w:rPr>
          <w:rStyle w:val="16"/>
          <w:rFonts w:ascii="Arial" w:hAnsi="Arial" w:cs="Arial"/>
          <w:b w:val="0"/>
          <w:bCs w:val="0"/>
          <w:szCs w:val="18"/>
        </w:rPr>
        <w:t>3.5 Подписание Акта сдачи-приёмки по Этапу является основанием для окончательного расчёта по данному Этапу.</w:t>
      </w:r>
    </w:p>
    <w:p w14:paraId="281F9C06">
      <w:pPr>
        <w:pStyle w:val="35"/>
        <w:numPr>
          <w:ilvl w:val="0"/>
          <w:numId w:val="0"/>
        </w:numPr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3.6 Замечания Заказчика, не относящиеся к выполненному объёму работ или выходящие за рамки утверждённого Технического задания, считаются </w:t>
      </w:r>
      <w:r>
        <w:rPr>
          <w:rStyle w:val="16"/>
          <w:rFonts w:ascii="Arial" w:hAnsi="Arial" w:cs="Arial"/>
          <w:b w:val="0"/>
          <w:bCs w:val="0"/>
          <w:szCs w:val="18"/>
        </w:rPr>
        <w:t>новыми требованиями</w:t>
      </w:r>
      <w:r>
        <w:rPr>
          <w:rFonts w:ascii="Arial" w:hAnsi="Arial" w:cs="Arial"/>
          <w:szCs w:val="18"/>
        </w:rPr>
        <w:t xml:space="preserve"> и подлежат оформлению в виде </w:t>
      </w:r>
      <w:r>
        <w:rPr>
          <w:rStyle w:val="16"/>
          <w:rFonts w:ascii="Arial" w:hAnsi="Arial" w:cs="Arial"/>
          <w:b w:val="0"/>
          <w:bCs w:val="0"/>
          <w:szCs w:val="18"/>
        </w:rPr>
        <w:t>Change Request (CR)</w:t>
      </w:r>
      <w:r>
        <w:rPr>
          <w:rFonts w:ascii="Arial" w:hAnsi="Arial" w:cs="Arial"/>
          <w:szCs w:val="18"/>
        </w:rPr>
        <w:t xml:space="preserve"> с отдельным согласованием сроков и стоимости.</w:t>
      </w:r>
    </w:p>
    <w:p w14:paraId="43362F39">
      <w:pPr>
        <w:pStyle w:val="35"/>
        <w:numPr>
          <w:ilvl w:val="0"/>
          <w:numId w:val="0"/>
        </w:numPr>
        <w:spacing w:before="120" w:after="120"/>
        <w:ind w:right="0"/>
        <w:rPr>
          <w:rFonts w:ascii="Arial" w:hAnsi="Arial" w:cs="Arial"/>
          <w:szCs w:val="18"/>
        </w:rPr>
      </w:pPr>
    </w:p>
    <w:p w14:paraId="2BF48A47">
      <w:pPr>
        <w:pStyle w:val="35"/>
        <w:numPr>
          <w:ilvl w:val="0"/>
          <w:numId w:val="0"/>
        </w:numPr>
        <w:spacing w:before="120" w:after="120"/>
        <w:ind w:right="0"/>
        <w:rPr>
          <w:rFonts w:ascii="Arial" w:hAnsi="Arial" w:cs="Arial"/>
          <w:szCs w:val="18"/>
        </w:rPr>
      </w:pPr>
    </w:p>
    <w:p w14:paraId="428A8131">
      <w:pPr>
        <w:spacing w:before="120" w:after="120"/>
        <w:rPr>
          <w:rFonts w:ascii="Arial" w:hAnsi="Arial" w:cs="Arial"/>
          <w:b/>
          <w:sz w:val="18"/>
          <w:szCs w:val="18"/>
        </w:rPr>
      </w:pPr>
    </w:p>
    <w:tbl>
      <w:tblPr>
        <w:tblStyle w:val="12"/>
        <w:tblW w:w="10627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73"/>
        <w:gridCol w:w="4354"/>
      </w:tblGrid>
      <w:tr w14:paraId="2EAEA2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  <w:jc w:val="center"/>
        </w:trPr>
        <w:tc>
          <w:tcPr>
            <w:tcW w:w="10627" w:type="dxa"/>
            <w:gridSpan w:val="2"/>
            <w:vAlign w:val="center"/>
          </w:tcPr>
          <w:p w14:paraId="33EFC710">
            <w:pPr>
              <w:snapToGrid w:val="0"/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ПОДПИСИ СТОРОН</w:t>
            </w:r>
          </w:p>
          <w:p w14:paraId="21279F57">
            <w:pPr>
              <w:snapToGrid w:val="0"/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14:paraId="204850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  <w:jc w:val="center"/>
        </w:trPr>
        <w:tc>
          <w:tcPr>
            <w:tcW w:w="6273" w:type="dxa"/>
            <w:vAlign w:val="center"/>
          </w:tcPr>
          <w:p w14:paraId="19F3B2F5">
            <w:pPr>
              <w:snapToGrid w:val="0"/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0A48FEE8">
            <w:pPr>
              <w:snapToGrid w:val="0"/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от Заказчика</w:t>
            </w:r>
          </w:p>
        </w:tc>
        <w:tc>
          <w:tcPr>
            <w:tcW w:w="4354" w:type="dxa"/>
            <w:vAlign w:val="center"/>
          </w:tcPr>
          <w:p w14:paraId="1AA986FA">
            <w:pPr>
              <w:snapToGrid w:val="0"/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56EBF0CE">
            <w:pPr>
              <w:snapToGrid w:val="0"/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от Исполнителя</w:t>
            </w:r>
          </w:p>
        </w:tc>
      </w:tr>
      <w:tr w14:paraId="4C2151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63" w:hRule="atLeast"/>
          <w:jc w:val="center"/>
        </w:trPr>
        <w:tc>
          <w:tcPr>
            <w:tcW w:w="6273" w:type="dxa"/>
          </w:tcPr>
          <w:p w14:paraId="4666A540">
            <w:pPr>
              <w:widowControl w:val="0"/>
              <w:spacing w:before="120" w:after="120"/>
              <w:rPr>
                <w:rFonts w:ascii="Arial" w:hAnsi="Arial" w:eastAsia="Times New Roman" w:cs="Arial"/>
                <w:sz w:val="18"/>
                <w:szCs w:val="18"/>
              </w:rPr>
            </w:pPr>
          </w:p>
          <w:p w14:paraId="33DAD534">
            <w:pPr>
              <w:widowControl w:val="0"/>
              <w:spacing w:before="120" w:after="120"/>
              <w:rPr>
                <w:rFonts w:ascii="Arial" w:hAnsi="Arial" w:eastAsia="Times New Roman" w:cs="Arial"/>
                <w:sz w:val="18"/>
                <w:szCs w:val="18"/>
              </w:rPr>
            </w:pPr>
            <w:r>
              <w:rPr>
                <w:highlight w:val="yellow"/>
              </w:rPr>
              <w:t>{{client_signer_position}}</w:t>
            </w:r>
          </w:p>
          <w:p w14:paraId="35428930">
            <w:pPr>
              <w:widowControl w:val="0"/>
              <w:spacing w:before="120" w:after="120"/>
              <w:rPr>
                <w:rFonts w:ascii="Arial" w:hAnsi="Arial" w:eastAsia="Times New Roman" w:cs="Arial"/>
                <w:sz w:val="18"/>
                <w:szCs w:val="18"/>
              </w:rPr>
            </w:pPr>
            <w:r>
              <w:rPr>
                <w:rFonts w:ascii="Arial" w:hAnsi="Arial" w:eastAsia="Times New Roman" w:cs="Arial"/>
                <w:sz w:val="18"/>
                <w:szCs w:val="18"/>
                <w:highlight w:val="yellow"/>
              </w:rPr>
              <w:t>{{client_name}}</w:t>
            </w:r>
          </w:p>
          <w:p w14:paraId="58214DB2">
            <w:pPr>
              <w:widowControl w:val="0"/>
              <w:spacing w:before="120" w:after="120"/>
              <w:rPr>
                <w:rFonts w:ascii="Arial" w:hAnsi="Arial" w:eastAsia="Times New Roman" w:cs="Arial"/>
                <w:sz w:val="18"/>
                <w:szCs w:val="18"/>
              </w:rPr>
            </w:pPr>
          </w:p>
          <w:p w14:paraId="505CBBBC">
            <w:pPr>
              <w:widowControl w:val="0"/>
              <w:spacing w:before="120" w:after="120"/>
              <w:rPr>
                <w:rFonts w:ascii="Arial" w:hAnsi="Arial" w:eastAsia="Times New Roman" w:cs="Arial"/>
                <w:sz w:val="18"/>
                <w:szCs w:val="18"/>
              </w:rPr>
            </w:pPr>
          </w:p>
          <w:p w14:paraId="52C4DF9A">
            <w:pPr>
              <w:widowControl w:val="0"/>
              <w:spacing w:before="120" w:after="120"/>
              <w:rPr>
                <w:rFonts w:ascii="Arial" w:hAnsi="Arial" w:eastAsia="Times New Roman" w:cs="Arial"/>
                <w:sz w:val="18"/>
                <w:szCs w:val="18"/>
              </w:rPr>
            </w:pPr>
          </w:p>
          <w:p w14:paraId="00928D75">
            <w:pPr>
              <w:widowControl w:val="0"/>
              <w:spacing w:before="120" w:after="120"/>
              <w:rPr>
                <w:rFonts w:ascii="Arial" w:hAnsi="Arial" w:eastAsia="Times New Roman" w:cs="Arial"/>
                <w:sz w:val="18"/>
                <w:szCs w:val="18"/>
              </w:rPr>
            </w:pPr>
            <w:r>
              <w:rPr>
                <w:rFonts w:ascii="Arial" w:hAnsi="Arial" w:eastAsia="Times New Roman" w:cs="Arial"/>
                <w:sz w:val="18"/>
                <w:szCs w:val="18"/>
              </w:rPr>
              <w:t>______________</w:t>
            </w:r>
            <w:r>
              <w:rPr>
                <w:rFonts w:ascii="Arial" w:hAnsi="Arial" w:eastAsia="Times New Roman" w:cs="Arial"/>
                <w:color w:val="000000"/>
                <w:sz w:val="18"/>
                <w:szCs w:val="18"/>
                <w:highlight w:val="yellow"/>
              </w:rPr>
              <w:t>{{client_signer_short_name}}</w:t>
            </w:r>
          </w:p>
        </w:tc>
        <w:tc>
          <w:tcPr>
            <w:tcW w:w="4354" w:type="dxa"/>
            <w:vAlign w:val="center"/>
          </w:tcPr>
          <w:p w14:paraId="3BABD043">
            <w:pPr>
              <w:widowControl w:val="0"/>
              <w:spacing w:before="120" w:after="120"/>
              <w:rPr>
                <w:rFonts w:ascii="Arial" w:hAnsi="Arial" w:eastAsia="Times New Roman" w:cs="Arial"/>
                <w:sz w:val="18"/>
                <w:szCs w:val="18"/>
              </w:rPr>
            </w:pPr>
          </w:p>
          <w:p w14:paraId="6E1EE569">
            <w:pPr>
              <w:widowControl w:val="0"/>
              <w:spacing w:before="120" w:after="120"/>
              <w:rPr>
                <w:rFonts w:ascii="Arial" w:hAnsi="Arial" w:eastAsia="Times New Roman" w:cs="Arial"/>
                <w:sz w:val="18"/>
                <w:szCs w:val="18"/>
              </w:rPr>
            </w:pPr>
            <w:r>
              <w:rPr>
                <w:rFonts w:ascii="Arial" w:hAnsi="Arial" w:eastAsia="Times New Roman" w:cs="Arial"/>
                <w:sz w:val="18"/>
                <w:szCs w:val="18"/>
              </w:rPr>
              <w:t>Генеральный директор</w:t>
            </w:r>
          </w:p>
          <w:p w14:paraId="774B5991">
            <w:pPr>
              <w:widowControl w:val="0"/>
              <w:spacing w:before="120" w:after="120"/>
              <w:rPr>
                <w:rFonts w:ascii="Arial" w:hAnsi="Arial" w:eastAsia="Times New Roman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ООО «Юнитех»</w:t>
            </w:r>
          </w:p>
          <w:p w14:paraId="500890FA">
            <w:pPr>
              <w:widowControl w:val="0"/>
              <w:spacing w:before="120" w:after="120"/>
              <w:rPr>
                <w:rFonts w:ascii="Arial" w:hAnsi="Arial" w:cs="Arial"/>
                <w:b/>
                <w:sz w:val="18"/>
                <w:szCs w:val="18"/>
                <w:u w:val="single"/>
              </w:rPr>
            </w:pPr>
          </w:p>
          <w:p w14:paraId="10E68968">
            <w:pPr>
              <w:widowControl w:val="0"/>
              <w:spacing w:before="120" w:after="120"/>
              <w:rPr>
                <w:rFonts w:ascii="Arial" w:hAnsi="Arial" w:cs="Arial"/>
                <w:b/>
                <w:sz w:val="18"/>
                <w:szCs w:val="18"/>
                <w:u w:val="single"/>
              </w:rPr>
            </w:pPr>
          </w:p>
          <w:p w14:paraId="60A05F6B">
            <w:pPr>
              <w:widowControl w:val="0"/>
              <w:spacing w:before="120" w:after="120"/>
              <w:rPr>
                <w:rFonts w:ascii="Arial" w:hAnsi="Arial" w:eastAsia="Times New Roman" w:cs="Arial"/>
                <w:sz w:val="18"/>
                <w:szCs w:val="18"/>
              </w:rPr>
            </w:pPr>
            <w:r>
              <w:rPr>
                <w:rFonts w:ascii="Arial" w:hAnsi="Arial" w:eastAsia="Times New Roman" w:cs="Arial"/>
                <w:sz w:val="18"/>
                <w:szCs w:val="18"/>
              </w:rPr>
              <w:t>______________ Беликов Н.С.</w:t>
            </w:r>
            <w:r>
              <w:rPr>
                <w:rFonts w:ascii="Arial" w:hAnsi="Arial" w:eastAsia="Times New Roman" w:cs="Arial"/>
                <w:b/>
                <w:sz w:val="18"/>
                <w:szCs w:val="18"/>
              </w:rPr>
              <w:t xml:space="preserve"> </w:t>
            </w:r>
          </w:p>
        </w:tc>
      </w:tr>
    </w:tbl>
    <w:p w14:paraId="376A7FDD">
      <w:pPr>
        <w:tabs>
          <w:tab w:val="left" w:pos="8475"/>
        </w:tabs>
        <w:spacing w:before="120" w:after="120"/>
        <w:rPr>
          <w:rFonts w:ascii="Arial" w:hAnsi="Arial" w:cs="Arial"/>
          <w:sz w:val="18"/>
          <w:szCs w:val="18"/>
        </w:rPr>
      </w:pPr>
    </w:p>
    <w:p w14:paraId="080F0C01">
      <w:pPr>
        <w:tabs>
          <w:tab w:val="left" w:pos="8475"/>
        </w:tabs>
        <w:spacing w:before="120" w:after="120"/>
        <w:rPr>
          <w:rFonts w:ascii="Arial" w:hAnsi="Arial" w:cs="Arial"/>
          <w:sz w:val="18"/>
          <w:szCs w:val="18"/>
        </w:rPr>
      </w:pPr>
    </w:p>
    <w:p w14:paraId="5A66F44B"/>
    <w:sectPr>
      <w:headerReference r:id="rId10" w:type="first"/>
      <w:headerReference r:id="rId9" w:type="default"/>
      <w:footerReference r:id="rId11" w:type="default"/>
      <w:pgSz w:w="11900" w:h="16840"/>
      <w:pgMar w:top="1134" w:right="567" w:bottom="1134" w:left="1134" w:header="284" w:footer="284" w:gutter="0"/>
      <w:cols w:space="708" w:num="1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CC"/>
    <w:family w:val="swiss"/>
    <w:pitch w:val="default"/>
    <w:sig w:usb0="E0002EFF" w:usb1="C000785B" w:usb2="00000009" w:usb3="00000000" w:csb0="400001FF" w:csb1="FFFF0000"/>
  </w:font>
  <w:font w:name="MS Mincho">
    <w:altName w:val="Yu Gothic UI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Helvetica">
    <w:altName w:val="Arial"/>
    <w:panose1 w:val="020B0604020202020204"/>
    <w:charset w:val="CC"/>
    <w:family w:val="swiss"/>
    <w:pitch w:val="default"/>
    <w:sig w:usb0="00000000" w:usb1="00000000" w:usb2="00000009" w:usb3="00000000" w:csb0="000001FF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47457584"/>
      <w:docPartObj>
        <w:docPartGallery w:val="autotext"/>
      </w:docPartObj>
    </w:sdtPr>
    <w:sdtEndPr>
      <w:rPr>
        <w:sz w:val="18"/>
        <w:szCs w:val="18"/>
      </w:rPr>
    </w:sdtEndPr>
    <w:sdtContent>
      <w:p w14:paraId="5C1D8397">
        <w:pPr>
          <w:pStyle w:val="23"/>
          <w:jc w:val="right"/>
        </w:pPr>
      </w:p>
      <w:p w14:paraId="0680EDB0">
        <w:pPr>
          <w:pStyle w:val="23"/>
          <w:jc w:val="right"/>
          <w:rPr>
            <w:sz w:val="18"/>
            <w:szCs w:val="18"/>
          </w:rPr>
        </w:pPr>
        <w:r>
          <w:rPr>
            <w:sz w:val="18"/>
            <w:szCs w:val="18"/>
          </w:rPr>
          <w:fldChar w:fldCharType="begin"/>
        </w:r>
        <w:r>
          <w:rPr>
            <w:sz w:val="18"/>
            <w:szCs w:val="18"/>
          </w:rPr>
          <w:instrText xml:space="preserve">PAGE   \* MERGEFORMAT</w:instrText>
        </w:r>
        <w:r>
          <w:rPr>
            <w:sz w:val="18"/>
            <w:szCs w:val="18"/>
          </w:rPr>
          <w:fldChar w:fldCharType="separate"/>
        </w:r>
        <w:r>
          <w:rPr>
            <w:sz w:val="18"/>
            <w:szCs w:val="18"/>
          </w:rPr>
          <w:t>2</w:t>
        </w:r>
        <w:r>
          <w:rPr>
            <w:sz w:val="18"/>
            <w:szCs w:val="18"/>
          </w:rPr>
          <w:fldChar w:fldCharType="end"/>
        </w:r>
      </w:p>
    </w:sdtContent>
  </w:sdt>
  <w:p w14:paraId="31B67A8D">
    <w:pPr>
      <w:pStyle w:val="2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C8884C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EA2AD3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248586730"/>
      <w:docPartObj>
        <w:docPartGallery w:val="AutoText"/>
      </w:docPartObj>
    </w:sdtPr>
    <w:sdtEndPr>
      <w:rPr>
        <w:sz w:val="18"/>
        <w:szCs w:val="18"/>
      </w:rPr>
    </w:sdtEndPr>
    <w:sdtContent>
      <w:p w14:paraId="4C3EF089">
        <w:pPr>
          <w:pStyle w:val="23"/>
          <w:jc w:val="right"/>
        </w:pPr>
      </w:p>
      <w:p w14:paraId="49938285">
        <w:pPr>
          <w:pStyle w:val="23"/>
          <w:jc w:val="right"/>
          <w:rPr>
            <w:sz w:val="18"/>
            <w:szCs w:val="18"/>
          </w:rPr>
        </w:pPr>
        <w:r>
          <w:rPr>
            <w:sz w:val="18"/>
            <w:szCs w:val="18"/>
          </w:rPr>
          <w:fldChar w:fldCharType="begin"/>
        </w:r>
        <w:r>
          <w:rPr>
            <w:sz w:val="18"/>
            <w:szCs w:val="18"/>
          </w:rPr>
          <w:instrText xml:space="preserve">PAGE   \* MERGEFORMAT</w:instrText>
        </w:r>
        <w:r>
          <w:rPr>
            <w:sz w:val="18"/>
            <w:szCs w:val="18"/>
          </w:rPr>
          <w:fldChar w:fldCharType="separate"/>
        </w:r>
        <w:r>
          <w:rPr>
            <w:sz w:val="18"/>
            <w:szCs w:val="18"/>
          </w:rPr>
          <w:t>2</w:t>
        </w:r>
        <w:r>
          <w:rPr>
            <w:sz w:val="18"/>
            <w:szCs w:val="18"/>
          </w:rPr>
          <w:fldChar w:fldCharType="end"/>
        </w:r>
      </w:p>
    </w:sdtContent>
  </w:sdt>
  <w:p w14:paraId="7F0AE7AC">
    <w:pPr>
      <w:pStyle w:val="2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6915E0">
    <w:pPr>
      <w:pStyle w:val="20"/>
      <w:tabs>
        <w:tab w:val="left" w:pos="8370"/>
      </w:tabs>
      <w:rPr>
        <w:sz w:val="18"/>
        <w:szCs w:val="18"/>
      </w:rPr>
    </w:pPr>
    <w:r>
      <w:rPr>
        <w:sz w:val="20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align>center</wp:align>
          </wp:positionH>
          <wp:positionV relativeFrom="paragraph">
            <wp:posOffset>-63500</wp:posOffset>
          </wp:positionV>
          <wp:extent cx="1916430" cy="503555"/>
          <wp:effectExtent l="0" t="0" r="3810" b="14605"/>
          <wp:wrapNone/>
          <wp:docPr id="3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Рисунок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16264" cy="5035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418E2053">
    <w:pPr>
      <w:pStyle w:val="20"/>
      <w:tabs>
        <w:tab w:val="left" w:pos="8370"/>
      </w:tabs>
      <w:rPr>
        <w:sz w:val="18"/>
        <w:szCs w:val="18"/>
      </w:rPr>
    </w:pPr>
    <w:r>
      <w:rPr>
        <w:sz w:val="18"/>
        <w:szCs w:val="18"/>
      </w:rPr>
      <w:t xml:space="preserve">ИНН: </w:t>
    </w:r>
    <w:r>
      <w:rPr>
        <w:sz w:val="18"/>
        <w:szCs w:val="18"/>
        <w:highlight w:val="yellow"/>
      </w:rPr>
      <w:t>{{client_inn}}</w:t>
    </w:r>
    <w:r>
      <w:t xml:space="preserve">                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9E9A39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05CB5F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1FE0E0">
    <w:pPr>
      <w:pStyle w:val="20"/>
      <w:tabs>
        <w:tab w:val="left" w:pos="8370"/>
      </w:tabs>
      <w:rPr>
        <w:sz w:val="18"/>
        <w:szCs w:val="18"/>
      </w:rPr>
    </w:pPr>
    <w:r>
      <w:rPr>
        <w:sz w:val="20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align>center</wp:align>
          </wp:positionH>
          <wp:positionV relativeFrom="paragraph">
            <wp:posOffset>-63500</wp:posOffset>
          </wp:positionV>
          <wp:extent cx="1916430" cy="503555"/>
          <wp:effectExtent l="0" t="0" r="8255" b="0"/>
          <wp:wrapNone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16264" cy="5035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34E3F6C1">
    <w:pPr>
      <w:pStyle w:val="20"/>
      <w:tabs>
        <w:tab w:val="left" w:pos="8370"/>
      </w:tabs>
      <w:rPr>
        <w:sz w:val="18"/>
        <w:szCs w:val="18"/>
      </w:rPr>
    </w:pPr>
    <w:r>
      <w:rPr>
        <w:sz w:val="18"/>
        <w:szCs w:val="18"/>
      </w:rPr>
      <w:t>ИНН: 5836899414</w:t>
    </w:r>
    <w:r>
      <w:t xml:space="preserve">                                             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F748B8">
    <w:pPr>
      <w:pStyle w:val="20"/>
      <w:tabs>
        <w:tab w:val="left" w:pos="8370"/>
      </w:tabs>
      <w:rPr>
        <w:sz w:val="18"/>
        <w:szCs w:val="18"/>
      </w:rPr>
    </w:pPr>
    <w:r>
      <w:rPr>
        <w:sz w:val="20"/>
      </w:rPr>
      <w:drawing>
        <wp:anchor distT="0" distB="0" distL="114300" distR="114300" simplePos="0" relativeHeight="251660288" behindDoc="0" locked="0" layoutInCell="1" allowOverlap="1">
          <wp:simplePos x="0" y="0"/>
          <wp:positionH relativeFrom="margin">
            <wp:align>center</wp:align>
          </wp:positionH>
          <wp:positionV relativeFrom="paragraph">
            <wp:posOffset>-79375</wp:posOffset>
          </wp:positionV>
          <wp:extent cx="1916430" cy="503555"/>
          <wp:effectExtent l="0" t="0" r="8255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16264" cy="5035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3D6AAA80">
    <w:pPr>
      <w:pStyle w:val="20"/>
      <w:tabs>
        <w:tab w:val="left" w:pos="8370"/>
      </w:tabs>
      <w:rPr>
        <w:sz w:val="18"/>
        <w:szCs w:val="18"/>
      </w:rPr>
    </w:pPr>
    <w:r>
      <w:rPr>
        <w:sz w:val="18"/>
        <w:szCs w:val="18"/>
      </w:rPr>
      <w:t>ИНН: 5836899414</w:t>
    </w:r>
    <w:r>
      <w:t xml:space="preserve">                                             </w:t>
    </w:r>
  </w:p>
  <w:p w14:paraId="08377DD2">
    <w:pPr>
      <w:pStyle w:val="20"/>
      <w:tabs>
        <w:tab w:val="left" w:pos="2700"/>
        <w:tab w:val="clear" w:pos="4677"/>
        <w:tab w:val="clear" w:pos="9355"/>
      </w:tabs>
      <w:rPr>
        <w:rFonts w:ascii="Arial" w:hAnsi="Arial" w:cs="Arial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1"/>
    <w:multiLevelType w:val="multilevel"/>
    <w:tmpl w:val="00000001"/>
    <w:lvl w:ilvl="0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pStyle w:val="30"/>
      <w:suff w:val="nothing"/>
      <w:lvlText w:val="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1">
    <w:nsid w:val="186B6A36"/>
    <w:multiLevelType w:val="multilevel"/>
    <w:tmpl w:val="186B6A36"/>
    <w:lvl w:ilvl="0" w:tentative="0">
      <w:start w:val="1"/>
      <w:numFmt w:val="decimal"/>
      <w:pStyle w:val="32"/>
      <w:lvlText w:val="%1."/>
      <w:lvlJc w:val="left"/>
      <w:pPr>
        <w:ind w:left="-133" w:hanging="227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454" w:hanging="454"/>
      </w:pPr>
      <w:rPr>
        <w:rFonts w:hint="default"/>
        <w:sz w:val="18"/>
      </w:rPr>
    </w:lvl>
    <w:lvl w:ilvl="2" w:tentative="0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2">
    <w:nsid w:val="3F76597C"/>
    <w:multiLevelType w:val="multilevel"/>
    <w:tmpl w:val="3F76597C"/>
    <w:lvl w:ilvl="0" w:tentative="0">
      <w:start w:val="1"/>
      <w:numFmt w:val="decimal"/>
      <w:pStyle w:val="33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>
    <w:nsid w:val="60171418"/>
    <w:multiLevelType w:val="multilevel"/>
    <w:tmpl w:val="60171418"/>
    <w:lvl w:ilvl="0" w:tentative="0">
      <w:start w:val="1"/>
      <w:numFmt w:val="decimal"/>
      <w:pStyle w:val="36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792" w:hanging="432"/>
      </w:pPr>
      <w:rPr>
        <w:rFonts w:hint="default" w:ascii="Tahoma" w:hAnsi="Tahoma"/>
        <w:sz w:val="18"/>
      </w:rPr>
    </w:lvl>
    <w:lvl w:ilvl="2" w:tentative="0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>
    <w:nsid w:val="631F787E"/>
    <w:multiLevelType w:val="multilevel"/>
    <w:tmpl w:val="631F787E"/>
    <w:lvl w:ilvl="0" w:tentative="0">
      <w:start w:val="1"/>
      <w:numFmt w:val="decimal"/>
      <w:pStyle w:val="34"/>
      <w:lvlText w:val="%1."/>
      <w:lvlJc w:val="left"/>
      <w:pPr>
        <w:ind w:left="644" w:hanging="360"/>
      </w:pPr>
    </w:lvl>
    <w:lvl w:ilvl="1" w:tentative="0">
      <w:start w:val="1"/>
      <w:numFmt w:val="decimal"/>
      <w:lvlText w:val="%1.%2."/>
      <w:lvlJc w:val="left"/>
      <w:pPr>
        <w:ind w:left="792" w:hanging="432"/>
      </w:pPr>
      <w:rPr>
        <w:rFonts w:ascii="Tahoma" w:hAnsi="Tahoma"/>
        <w:sz w:val="18"/>
      </w:r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>
    <w:nsid w:val="7F9A12BB"/>
    <w:multiLevelType w:val="multilevel"/>
    <w:tmpl w:val="7F9A12BB"/>
    <w:lvl w:ilvl="0" w:tentative="0">
      <w:start w:val="1"/>
      <w:numFmt w:val="decimal"/>
      <w:pStyle w:val="54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pStyle w:val="35"/>
      <w:suff w:val="space"/>
      <w:lvlText w:val="%1.%2."/>
      <w:lvlJc w:val="left"/>
      <w:pPr>
        <w:ind w:left="1277" w:firstLine="0"/>
      </w:pPr>
      <w:rPr>
        <w:rFonts w:hint="default" w:ascii="Arial" w:hAnsi="Arial" w:cs="Arial"/>
        <w:sz w:val="18"/>
      </w:rPr>
    </w:lvl>
    <w:lvl w:ilvl="2" w:tentative="0">
      <w:start w:val="1"/>
      <w:numFmt w:val="decimal"/>
      <w:pStyle w:val="57"/>
      <w:lvlText w:val="%1.%2.%3."/>
      <w:lvlJc w:val="left"/>
      <w:pPr>
        <w:ind w:left="930" w:hanging="504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5"/>
  </w:num>
  <w:num w:numId="6">
    <w:abstractNumId w:val="3"/>
  </w:num>
  <w:num w:numId="7">
    <w:abstractNumId w:val="5"/>
    <w:lvlOverride w:ilvl="0">
      <w:lvl w:ilvl="0" w:tentative="1">
        <w:start w:val="1"/>
        <w:numFmt w:val="decimal"/>
        <w:suff w:val="space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 w:tentative="1">
        <w:start w:val="1"/>
        <w:numFmt w:val="decimal"/>
        <w:suff w:val="space"/>
        <w:lvlText w:val="%1.%2."/>
        <w:lvlJc w:val="left"/>
        <w:pPr>
          <w:ind w:left="0" w:firstLine="0"/>
        </w:pPr>
        <w:rPr>
          <w:rFonts w:hint="default" w:ascii="Arial" w:hAnsi="Arial" w:cs="Arial"/>
          <w:sz w:val="18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930" w:hanging="504"/>
        </w:pPr>
        <w:rPr>
          <w:rFonts w:hint="default"/>
        </w:rPr>
      </w:lvl>
    </w:lvlOverride>
    <w:lvlOverride w:ilvl="3">
      <w:lvl w:ilvl="3" w:tentative="1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 w:tentative="1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 w:tentative="1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 w:tentative="1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 w:tentative="1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 w:tentative="1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BC7"/>
    <w:rsid w:val="00000F66"/>
    <w:rsid w:val="00001881"/>
    <w:rsid w:val="000051A7"/>
    <w:rsid w:val="00005A91"/>
    <w:rsid w:val="000138C5"/>
    <w:rsid w:val="00013F07"/>
    <w:rsid w:val="000173E4"/>
    <w:rsid w:val="00022628"/>
    <w:rsid w:val="0002392C"/>
    <w:rsid w:val="00025D6E"/>
    <w:rsid w:val="00031005"/>
    <w:rsid w:val="000335EC"/>
    <w:rsid w:val="000343F0"/>
    <w:rsid w:val="00042891"/>
    <w:rsid w:val="0004339C"/>
    <w:rsid w:val="00044027"/>
    <w:rsid w:val="000511B3"/>
    <w:rsid w:val="000548AE"/>
    <w:rsid w:val="000673E9"/>
    <w:rsid w:val="0007427E"/>
    <w:rsid w:val="0007475B"/>
    <w:rsid w:val="000759F2"/>
    <w:rsid w:val="00075EF0"/>
    <w:rsid w:val="000764C8"/>
    <w:rsid w:val="00077712"/>
    <w:rsid w:val="0008123A"/>
    <w:rsid w:val="000816F6"/>
    <w:rsid w:val="000857B1"/>
    <w:rsid w:val="000918CD"/>
    <w:rsid w:val="000932ED"/>
    <w:rsid w:val="000A2E96"/>
    <w:rsid w:val="000A354C"/>
    <w:rsid w:val="000A549B"/>
    <w:rsid w:val="000A664B"/>
    <w:rsid w:val="000B12F6"/>
    <w:rsid w:val="000B4D36"/>
    <w:rsid w:val="000C0E71"/>
    <w:rsid w:val="000C1089"/>
    <w:rsid w:val="000C2691"/>
    <w:rsid w:val="000C4FC5"/>
    <w:rsid w:val="000D01CF"/>
    <w:rsid w:val="000D2B11"/>
    <w:rsid w:val="000D6CC7"/>
    <w:rsid w:val="000D79B1"/>
    <w:rsid w:val="000E0FA2"/>
    <w:rsid w:val="000E1D84"/>
    <w:rsid w:val="000E2976"/>
    <w:rsid w:val="000E4B45"/>
    <w:rsid w:val="000E5570"/>
    <w:rsid w:val="000F1557"/>
    <w:rsid w:val="000F2E50"/>
    <w:rsid w:val="000F3617"/>
    <w:rsid w:val="000F75DF"/>
    <w:rsid w:val="0010116F"/>
    <w:rsid w:val="00101536"/>
    <w:rsid w:val="001017B9"/>
    <w:rsid w:val="001022AC"/>
    <w:rsid w:val="00104E07"/>
    <w:rsid w:val="00105AB5"/>
    <w:rsid w:val="00116AD3"/>
    <w:rsid w:val="00123A52"/>
    <w:rsid w:val="00123F13"/>
    <w:rsid w:val="001253BB"/>
    <w:rsid w:val="0012775B"/>
    <w:rsid w:val="00130015"/>
    <w:rsid w:val="00131517"/>
    <w:rsid w:val="00132CBC"/>
    <w:rsid w:val="001338D5"/>
    <w:rsid w:val="00135262"/>
    <w:rsid w:val="001413EC"/>
    <w:rsid w:val="00141E42"/>
    <w:rsid w:val="00145284"/>
    <w:rsid w:val="00155523"/>
    <w:rsid w:val="00155A49"/>
    <w:rsid w:val="00156D96"/>
    <w:rsid w:val="0015728E"/>
    <w:rsid w:val="00157408"/>
    <w:rsid w:val="00160186"/>
    <w:rsid w:val="001627E0"/>
    <w:rsid w:val="001630C0"/>
    <w:rsid w:val="001650C0"/>
    <w:rsid w:val="00165530"/>
    <w:rsid w:val="00167B87"/>
    <w:rsid w:val="00170F0E"/>
    <w:rsid w:val="00171531"/>
    <w:rsid w:val="00171839"/>
    <w:rsid w:val="001723F2"/>
    <w:rsid w:val="001748E2"/>
    <w:rsid w:val="001760EE"/>
    <w:rsid w:val="001768F0"/>
    <w:rsid w:val="0017719D"/>
    <w:rsid w:val="00180AD3"/>
    <w:rsid w:val="001811D2"/>
    <w:rsid w:val="001837B9"/>
    <w:rsid w:val="001866E8"/>
    <w:rsid w:val="00187CC8"/>
    <w:rsid w:val="00187F19"/>
    <w:rsid w:val="00190B17"/>
    <w:rsid w:val="00191B1C"/>
    <w:rsid w:val="001924FD"/>
    <w:rsid w:val="00194EC3"/>
    <w:rsid w:val="00197599"/>
    <w:rsid w:val="00197A1A"/>
    <w:rsid w:val="001A0527"/>
    <w:rsid w:val="001A451F"/>
    <w:rsid w:val="001A5C01"/>
    <w:rsid w:val="001C1CA7"/>
    <w:rsid w:val="001C283E"/>
    <w:rsid w:val="001D1095"/>
    <w:rsid w:val="001D4C6B"/>
    <w:rsid w:val="001D4FBF"/>
    <w:rsid w:val="001D5DEE"/>
    <w:rsid w:val="001D5FAC"/>
    <w:rsid w:val="001D6B5D"/>
    <w:rsid w:val="001D6F8F"/>
    <w:rsid w:val="001E0392"/>
    <w:rsid w:val="001E069F"/>
    <w:rsid w:val="001E1F86"/>
    <w:rsid w:val="001E447A"/>
    <w:rsid w:val="001F23AF"/>
    <w:rsid w:val="001F2F81"/>
    <w:rsid w:val="001F5B94"/>
    <w:rsid w:val="001F686F"/>
    <w:rsid w:val="00200F45"/>
    <w:rsid w:val="00202E53"/>
    <w:rsid w:val="002079B1"/>
    <w:rsid w:val="00211E36"/>
    <w:rsid w:val="00212269"/>
    <w:rsid w:val="00212963"/>
    <w:rsid w:val="00212C16"/>
    <w:rsid w:val="002137E5"/>
    <w:rsid w:val="00214F3D"/>
    <w:rsid w:val="00222873"/>
    <w:rsid w:val="00223C6E"/>
    <w:rsid w:val="002245CB"/>
    <w:rsid w:val="002248B4"/>
    <w:rsid w:val="00227308"/>
    <w:rsid w:val="00227D96"/>
    <w:rsid w:val="00231963"/>
    <w:rsid w:val="00233671"/>
    <w:rsid w:val="002364F6"/>
    <w:rsid w:val="0023780B"/>
    <w:rsid w:val="002401DF"/>
    <w:rsid w:val="0024703F"/>
    <w:rsid w:val="00250AD3"/>
    <w:rsid w:val="0025196C"/>
    <w:rsid w:val="002528FB"/>
    <w:rsid w:val="002529CA"/>
    <w:rsid w:val="00256F04"/>
    <w:rsid w:val="00263749"/>
    <w:rsid w:val="00266354"/>
    <w:rsid w:val="00266FD1"/>
    <w:rsid w:val="002718E0"/>
    <w:rsid w:val="00273434"/>
    <w:rsid w:val="00277E63"/>
    <w:rsid w:val="00282B58"/>
    <w:rsid w:val="00292D58"/>
    <w:rsid w:val="00293379"/>
    <w:rsid w:val="00297684"/>
    <w:rsid w:val="002A25B2"/>
    <w:rsid w:val="002A2CA8"/>
    <w:rsid w:val="002A35B2"/>
    <w:rsid w:val="002A5495"/>
    <w:rsid w:val="002B0166"/>
    <w:rsid w:val="002B2BF5"/>
    <w:rsid w:val="002B2EBD"/>
    <w:rsid w:val="002B4C91"/>
    <w:rsid w:val="002B5518"/>
    <w:rsid w:val="002B55A9"/>
    <w:rsid w:val="002B6FB5"/>
    <w:rsid w:val="002C245E"/>
    <w:rsid w:val="002C3BD3"/>
    <w:rsid w:val="002C47CA"/>
    <w:rsid w:val="002C6271"/>
    <w:rsid w:val="002C7E57"/>
    <w:rsid w:val="002D00D8"/>
    <w:rsid w:val="002D20DD"/>
    <w:rsid w:val="002D31A7"/>
    <w:rsid w:val="002D66E6"/>
    <w:rsid w:val="002D6A95"/>
    <w:rsid w:val="002D73F1"/>
    <w:rsid w:val="002D7430"/>
    <w:rsid w:val="002E082F"/>
    <w:rsid w:val="002E5FC4"/>
    <w:rsid w:val="002E62F6"/>
    <w:rsid w:val="002E6B61"/>
    <w:rsid w:val="002F2D13"/>
    <w:rsid w:val="002F60B1"/>
    <w:rsid w:val="003014B7"/>
    <w:rsid w:val="00303107"/>
    <w:rsid w:val="0030390C"/>
    <w:rsid w:val="00311DB8"/>
    <w:rsid w:val="003151E8"/>
    <w:rsid w:val="00315DBF"/>
    <w:rsid w:val="00316C73"/>
    <w:rsid w:val="00322C6A"/>
    <w:rsid w:val="00322F2D"/>
    <w:rsid w:val="00324821"/>
    <w:rsid w:val="00326129"/>
    <w:rsid w:val="00327D52"/>
    <w:rsid w:val="00335A1C"/>
    <w:rsid w:val="003412EB"/>
    <w:rsid w:val="00341D39"/>
    <w:rsid w:val="00351076"/>
    <w:rsid w:val="00351ED8"/>
    <w:rsid w:val="00352636"/>
    <w:rsid w:val="003556B0"/>
    <w:rsid w:val="00356BCE"/>
    <w:rsid w:val="00360E6F"/>
    <w:rsid w:val="003614F0"/>
    <w:rsid w:val="00366D4A"/>
    <w:rsid w:val="0036708F"/>
    <w:rsid w:val="00370CB2"/>
    <w:rsid w:val="003716D5"/>
    <w:rsid w:val="00375D44"/>
    <w:rsid w:val="00377918"/>
    <w:rsid w:val="00380566"/>
    <w:rsid w:val="00380FDC"/>
    <w:rsid w:val="00384E1B"/>
    <w:rsid w:val="00386856"/>
    <w:rsid w:val="00390D6A"/>
    <w:rsid w:val="003A0164"/>
    <w:rsid w:val="003A5AC6"/>
    <w:rsid w:val="003A5E78"/>
    <w:rsid w:val="003B035C"/>
    <w:rsid w:val="003B0369"/>
    <w:rsid w:val="003B5CD2"/>
    <w:rsid w:val="003B6442"/>
    <w:rsid w:val="003B7429"/>
    <w:rsid w:val="003C0E39"/>
    <w:rsid w:val="003C3497"/>
    <w:rsid w:val="003C4BDF"/>
    <w:rsid w:val="003D5177"/>
    <w:rsid w:val="003D56D4"/>
    <w:rsid w:val="003D5D42"/>
    <w:rsid w:val="003D6DCA"/>
    <w:rsid w:val="003E1484"/>
    <w:rsid w:val="003E1CE6"/>
    <w:rsid w:val="003E699A"/>
    <w:rsid w:val="003E7145"/>
    <w:rsid w:val="003F05BD"/>
    <w:rsid w:val="003F0D83"/>
    <w:rsid w:val="003F2691"/>
    <w:rsid w:val="003F72BA"/>
    <w:rsid w:val="00400B8D"/>
    <w:rsid w:val="00400F50"/>
    <w:rsid w:val="00407AFF"/>
    <w:rsid w:val="00412A8C"/>
    <w:rsid w:val="00412C00"/>
    <w:rsid w:val="00413A51"/>
    <w:rsid w:val="004142FD"/>
    <w:rsid w:val="00416728"/>
    <w:rsid w:val="004214D3"/>
    <w:rsid w:val="00421877"/>
    <w:rsid w:val="00422CE6"/>
    <w:rsid w:val="00425B95"/>
    <w:rsid w:val="00433652"/>
    <w:rsid w:val="00436223"/>
    <w:rsid w:val="0044204F"/>
    <w:rsid w:val="004433EA"/>
    <w:rsid w:val="004434FA"/>
    <w:rsid w:val="0044511D"/>
    <w:rsid w:val="00445F96"/>
    <w:rsid w:val="00451D9E"/>
    <w:rsid w:val="00452D91"/>
    <w:rsid w:val="0045396B"/>
    <w:rsid w:val="0045475B"/>
    <w:rsid w:val="00456125"/>
    <w:rsid w:val="004601B6"/>
    <w:rsid w:val="004618B4"/>
    <w:rsid w:val="0046231C"/>
    <w:rsid w:val="00462EDE"/>
    <w:rsid w:val="00462F3C"/>
    <w:rsid w:val="004644A5"/>
    <w:rsid w:val="00465DCD"/>
    <w:rsid w:val="00466D8B"/>
    <w:rsid w:val="00470F74"/>
    <w:rsid w:val="00471F3E"/>
    <w:rsid w:val="0048155B"/>
    <w:rsid w:val="00483A78"/>
    <w:rsid w:val="004842C3"/>
    <w:rsid w:val="00484AAC"/>
    <w:rsid w:val="004859CD"/>
    <w:rsid w:val="00490BBA"/>
    <w:rsid w:val="00493C91"/>
    <w:rsid w:val="00497C76"/>
    <w:rsid w:val="004A1120"/>
    <w:rsid w:val="004A2D11"/>
    <w:rsid w:val="004A33F8"/>
    <w:rsid w:val="004A49D3"/>
    <w:rsid w:val="004A573D"/>
    <w:rsid w:val="004A64A4"/>
    <w:rsid w:val="004B5753"/>
    <w:rsid w:val="004B60D5"/>
    <w:rsid w:val="004B7C8A"/>
    <w:rsid w:val="004C3E03"/>
    <w:rsid w:val="004C5D78"/>
    <w:rsid w:val="004C6CC5"/>
    <w:rsid w:val="004C79D8"/>
    <w:rsid w:val="004D4DC9"/>
    <w:rsid w:val="004D5039"/>
    <w:rsid w:val="004D5301"/>
    <w:rsid w:val="004E0177"/>
    <w:rsid w:val="004E0A0C"/>
    <w:rsid w:val="004E15A5"/>
    <w:rsid w:val="004E6504"/>
    <w:rsid w:val="004E75E8"/>
    <w:rsid w:val="004F1CF9"/>
    <w:rsid w:val="004F24CC"/>
    <w:rsid w:val="004F4F4C"/>
    <w:rsid w:val="004F591E"/>
    <w:rsid w:val="004F5AE4"/>
    <w:rsid w:val="004F6FA5"/>
    <w:rsid w:val="004F70BE"/>
    <w:rsid w:val="004F72C0"/>
    <w:rsid w:val="005025B8"/>
    <w:rsid w:val="0050316D"/>
    <w:rsid w:val="00503565"/>
    <w:rsid w:val="00503822"/>
    <w:rsid w:val="00504913"/>
    <w:rsid w:val="0050524F"/>
    <w:rsid w:val="00511660"/>
    <w:rsid w:val="00515CFF"/>
    <w:rsid w:val="00517709"/>
    <w:rsid w:val="00522102"/>
    <w:rsid w:val="00524F1F"/>
    <w:rsid w:val="00526F8D"/>
    <w:rsid w:val="0052753F"/>
    <w:rsid w:val="00527D81"/>
    <w:rsid w:val="00532183"/>
    <w:rsid w:val="0053618D"/>
    <w:rsid w:val="00542D5A"/>
    <w:rsid w:val="005526AA"/>
    <w:rsid w:val="00553729"/>
    <w:rsid w:val="00555B42"/>
    <w:rsid w:val="0056045F"/>
    <w:rsid w:val="00561458"/>
    <w:rsid w:val="005649B3"/>
    <w:rsid w:val="00565201"/>
    <w:rsid w:val="00565F52"/>
    <w:rsid w:val="00566CDE"/>
    <w:rsid w:val="00567C2D"/>
    <w:rsid w:val="00571ED8"/>
    <w:rsid w:val="00572552"/>
    <w:rsid w:val="0057394E"/>
    <w:rsid w:val="0057529A"/>
    <w:rsid w:val="005810D7"/>
    <w:rsid w:val="00583C44"/>
    <w:rsid w:val="005918CB"/>
    <w:rsid w:val="0059465D"/>
    <w:rsid w:val="00595122"/>
    <w:rsid w:val="00595889"/>
    <w:rsid w:val="005A6B4D"/>
    <w:rsid w:val="005B176E"/>
    <w:rsid w:val="005C0280"/>
    <w:rsid w:val="005C24B1"/>
    <w:rsid w:val="005C3F9C"/>
    <w:rsid w:val="005C40D5"/>
    <w:rsid w:val="005C40E3"/>
    <w:rsid w:val="005D0B68"/>
    <w:rsid w:val="005D0E55"/>
    <w:rsid w:val="005D10C8"/>
    <w:rsid w:val="005D1623"/>
    <w:rsid w:val="005D563E"/>
    <w:rsid w:val="005E111A"/>
    <w:rsid w:val="005E11E1"/>
    <w:rsid w:val="005E6D04"/>
    <w:rsid w:val="005E7CA6"/>
    <w:rsid w:val="005F0A3E"/>
    <w:rsid w:val="005F291F"/>
    <w:rsid w:val="005F3B91"/>
    <w:rsid w:val="005F73AE"/>
    <w:rsid w:val="0060119D"/>
    <w:rsid w:val="00601E9F"/>
    <w:rsid w:val="00607E25"/>
    <w:rsid w:val="00610AEC"/>
    <w:rsid w:val="0061472D"/>
    <w:rsid w:val="00614E82"/>
    <w:rsid w:val="006207E9"/>
    <w:rsid w:val="006266D9"/>
    <w:rsid w:val="00627973"/>
    <w:rsid w:val="00633057"/>
    <w:rsid w:val="00633B29"/>
    <w:rsid w:val="006375DB"/>
    <w:rsid w:val="00643A24"/>
    <w:rsid w:val="00647DC8"/>
    <w:rsid w:val="00650911"/>
    <w:rsid w:val="006524EE"/>
    <w:rsid w:val="00656FFE"/>
    <w:rsid w:val="006615B8"/>
    <w:rsid w:val="00663065"/>
    <w:rsid w:val="00664CD8"/>
    <w:rsid w:val="00666FCA"/>
    <w:rsid w:val="00670345"/>
    <w:rsid w:val="006707F7"/>
    <w:rsid w:val="00670BC6"/>
    <w:rsid w:val="00671829"/>
    <w:rsid w:val="0067387A"/>
    <w:rsid w:val="00674333"/>
    <w:rsid w:val="00674A84"/>
    <w:rsid w:val="00674BCF"/>
    <w:rsid w:val="00675249"/>
    <w:rsid w:val="00676D44"/>
    <w:rsid w:val="00680302"/>
    <w:rsid w:val="00680521"/>
    <w:rsid w:val="00681BF5"/>
    <w:rsid w:val="00693568"/>
    <w:rsid w:val="00694207"/>
    <w:rsid w:val="00695BB3"/>
    <w:rsid w:val="00696013"/>
    <w:rsid w:val="00696DAF"/>
    <w:rsid w:val="006A119C"/>
    <w:rsid w:val="006B109C"/>
    <w:rsid w:val="006B23B5"/>
    <w:rsid w:val="006B4A0D"/>
    <w:rsid w:val="006B75CB"/>
    <w:rsid w:val="006C1064"/>
    <w:rsid w:val="006C287C"/>
    <w:rsid w:val="006C299E"/>
    <w:rsid w:val="006C663C"/>
    <w:rsid w:val="006C7434"/>
    <w:rsid w:val="006C76E9"/>
    <w:rsid w:val="006C77D0"/>
    <w:rsid w:val="006D1E78"/>
    <w:rsid w:val="006D28F6"/>
    <w:rsid w:val="006D4FB1"/>
    <w:rsid w:val="006D65E8"/>
    <w:rsid w:val="006D7242"/>
    <w:rsid w:val="006D7C2E"/>
    <w:rsid w:val="006E079B"/>
    <w:rsid w:val="006E2522"/>
    <w:rsid w:val="006E294D"/>
    <w:rsid w:val="006E2B4A"/>
    <w:rsid w:val="006E3EE3"/>
    <w:rsid w:val="006E5768"/>
    <w:rsid w:val="006E6FDB"/>
    <w:rsid w:val="006F0240"/>
    <w:rsid w:val="006F2037"/>
    <w:rsid w:val="006F27BB"/>
    <w:rsid w:val="006F70F8"/>
    <w:rsid w:val="006F7758"/>
    <w:rsid w:val="007001F0"/>
    <w:rsid w:val="007013D4"/>
    <w:rsid w:val="00703064"/>
    <w:rsid w:val="0070365A"/>
    <w:rsid w:val="00704939"/>
    <w:rsid w:val="007050BF"/>
    <w:rsid w:val="007053D4"/>
    <w:rsid w:val="00707200"/>
    <w:rsid w:val="0070745D"/>
    <w:rsid w:val="007129A2"/>
    <w:rsid w:val="00712FD7"/>
    <w:rsid w:val="00716F52"/>
    <w:rsid w:val="007174AA"/>
    <w:rsid w:val="00722BDE"/>
    <w:rsid w:val="00724A7A"/>
    <w:rsid w:val="00724D8A"/>
    <w:rsid w:val="0073020A"/>
    <w:rsid w:val="007306B9"/>
    <w:rsid w:val="007308D9"/>
    <w:rsid w:val="0073317A"/>
    <w:rsid w:val="0073581F"/>
    <w:rsid w:val="00735864"/>
    <w:rsid w:val="007367BD"/>
    <w:rsid w:val="00736808"/>
    <w:rsid w:val="00736D35"/>
    <w:rsid w:val="007411BC"/>
    <w:rsid w:val="0074193C"/>
    <w:rsid w:val="007420DE"/>
    <w:rsid w:val="0074342C"/>
    <w:rsid w:val="0074373B"/>
    <w:rsid w:val="00746302"/>
    <w:rsid w:val="007471AE"/>
    <w:rsid w:val="007523D7"/>
    <w:rsid w:val="00760E37"/>
    <w:rsid w:val="00761C06"/>
    <w:rsid w:val="00761F13"/>
    <w:rsid w:val="007626C3"/>
    <w:rsid w:val="007655DE"/>
    <w:rsid w:val="00766811"/>
    <w:rsid w:val="007678D1"/>
    <w:rsid w:val="00767E4C"/>
    <w:rsid w:val="00770557"/>
    <w:rsid w:val="00772427"/>
    <w:rsid w:val="00773695"/>
    <w:rsid w:val="00775144"/>
    <w:rsid w:val="0077587A"/>
    <w:rsid w:val="00775FCB"/>
    <w:rsid w:val="00780F8D"/>
    <w:rsid w:val="00781760"/>
    <w:rsid w:val="0078370D"/>
    <w:rsid w:val="007947A9"/>
    <w:rsid w:val="00796F1B"/>
    <w:rsid w:val="007A183D"/>
    <w:rsid w:val="007A3815"/>
    <w:rsid w:val="007A7281"/>
    <w:rsid w:val="007B038F"/>
    <w:rsid w:val="007B2C57"/>
    <w:rsid w:val="007B39E6"/>
    <w:rsid w:val="007B4244"/>
    <w:rsid w:val="007B75C5"/>
    <w:rsid w:val="007B778F"/>
    <w:rsid w:val="007C0250"/>
    <w:rsid w:val="007C0503"/>
    <w:rsid w:val="007C0E34"/>
    <w:rsid w:val="007C1836"/>
    <w:rsid w:val="007C1DD2"/>
    <w:rsid w:val="007C46AE"/>
    <w:rsid w:val="007C7903"/>
    <w:rsid w:val="007D119F"/>
    <w:rsid w:val="007D1443"/>
    <w:rsid w:val="007D2BEB"/>
    <w:rsid w:val="007D4100"/>
    <w:rsid w:val="007D4C16"/>
    <w:rsid w:val="007D4ECD"/>
    <w:rsid w:val="007D6B13"/>
    <w:rsid w:val="007D760B"/>
    <w:rsid w:val="007E2D8C"/>
    <w:rsid w:val="007E2DB6"/>
    <w:rsid w:val="007E4592"/>
    <w:rsid w:val="007E45E9"/>
    <w:rsid w:val="007E67FA"/>
    <w:rsid w:val="007E761B"/>
    <w:rsid w:val="007F137A"/>
    <w:rsid w:val="007F32CE"/>
    <w:rsid w:val="007F6377"/>
    <w:rsid w:val="00801A89"/>
    <w:rsid w:val="0080242A"/>
    <w:rsid w:val="00802935"/>
    <w:rsid w:val="00803573"/>
    <w:rsid w:val="00804521"/>
    <w:rsid w:val="00804F05"/>
    <w:rsid w:val="008056BE"/>
    <w:rsid w:val="00806FA5"/>
    <w:rsid w:val="0081092E"/>
    <w:rsid w:val="00810D8B"/>
    <w:rsid w:val="00812950"/>
    <w:rsid w:val="008130D9"/>
    <w:rsid w:val="00813B95"/>
    <w:rsid w:val="008156DD"/>
    <w:rsid w:val="008158E6"/>
    <w:rsid w:val="00817997"/>
    <w:rsid w:val="00822AF5"/>
    <w:rsid w:val="008240AA"/>
    <w:rsid w:val="00826240"/>
    <w:rsid w:val="00831577"/>
    <w:rsid w:val="00835436"/>
    <w:rsid w:val="00836859"/>
    <w:rsid w:val="00837C2D"/>
    <w:rsid w:val="00843563"/>
    <w:rsid w:val="008443D9"/>
    <w:rsid w:val="008459C4"/>
    <w:rsid w:val="00846C29"/>
    <w:rsid w:val="00847ECD"/>
    <w:rsid w:val="00852871"/>
    <w:rsid w:val="008534A5"/>
    <w:rsid w:val="00860613"/>
    <w:rsid w:val="00866191"/>
    <w:rsid w:val="00870A57"/>
    <w:rsid w:val="008731CF"/>
    <w:rsid w:val="00873DD8"/>
    <w:rsid w:val="00874BC7"/>
    <w:rsid w:val="0087516C"/>
    <w:rsid w:val="00877C3B"/>
    <w:rsid w:val="00877FBB"/>
    <w:rsid w:val="008802B1"/>
    <w:rsid w:val="0088066F"/>
    <w:rsid w:val="0088115D"/>
    <w:rsid w:val="00881C02"/>
    <w:rsid w:val="00887F80"/>
    <w:rsid w:val="00890D56"/>
    <w:rsid w:val="00891CEA"/>
    <w:rsid w:val="0089254C"/>
    <w:rsid w:val="00893E05"/>
    <w:rsid w:val="008947FA"/>
    <w:rsid w:val="00896509"/>
    <w:rsid w:val="008971FD"/>
    <w:rsid w:val="008978A2"/>
    <w:rsid w:val="008A0CEA"/>
    <w:rsid w:val="008A4D55"/>
    <w:rsid w:val="008A5818"/>
    <w:rsid w:val="008A68BF"/>
    <w:rsid w:val="008A7536"/>
    <w:rsid w:val="008B0AFA"/>
    <w:rsid w:val="008B0E20"/>
    <w:rsid w:val="008B4C1F"/>
    <w:rsid w:val="008B5E17"/>
    <w:rsid w:val="008B738C"/>
    <w:rsid w:val="008C06A7"/>
    <w:rsid w:val="008C0DD8"/>
    <w:rsid w:val="008C1FE4"/>
    <w:rsid w:val="008C3B64"/>
    <w:rsid w:val="008C4F15"/>
    <w:rsid w:val="008C53FD"/>
    <w:rsid w:val="008C5A3A"/>
    <w:rsid w:val="008C6157"/>
    <w:rsid w:val="008C7D90"/>
    <w:rsid w:val="008C7F84"/>
    <w:rsid w:val="008D0A2E"/>
    <w:rsid w:val="008D0E62"/>
    <w:rsid w:val="008D1E6A"/>
    <w:rsid w:val="008D5F56"/>
    <w:rsid w:val="008D71E3"/>
    <w:rsid w:val="008D7E4E"/>
    <w:rsid w:val="008E193E"/>
    <w:rsid w:val="008E3006"/>
    <w:rsid w:val="008E4230"/>
    <w:rsid w:val="008F2FF0"/>
    <w:rsid w:val="008F38B4"/>
    <w:rsid w:val="008F4CBA"/>
    <w:rsid w:val="008F7221"/>
    <w:rsid w:val="00900633"/>
    <w:rsid w:val="00901B7B"/>
    <w:rsid w:val="00902D6F"/>
    <w:rsid w:val="0090376C"/>
    <w:rsid w:val="00905C70"/>
    <w:rsid w:val="00906B91"/>
    <w:rsid w:val="009110D3"/>
    <w:rsid w:val="00911602"/>
    <w:rsid w:val="00917B39"/>
    <w:rsid w:val="00923A4C"/>
    <w:rsid w:val="00923BE5"/>
    <w:rsid w:val="00924F28"/>
    <w:rsid w:val="00926041"/>
    <w:rsid w:val="009266E2"/>
    <w:rsid w:val="00930FB8"/>
    <w:rsid w:val="00934210"/>
    <w:rsid w:val="0093435C"/>
    <w:rsid w:val="00934CFC"/>
    <w:rsid w:val="0093552F"/>
    <w:rsid w:val="00935B53"/>
    <w:rsid w:val="00936BF0"/>
    <w:rsid w:val="00946584"/>
    <w:rsid w:val="00947BEB"/>
    <w:rsid w:val="0095094F"/>
    <w:rsid w:val="00951000"/>
    <w:rsid w:val="00951159"/>
    <w:rsid w:val="00951C0E"/>
    <w:rsid w:val="00954567"/>
    <w:rsid w:val="00954AA5"/>
    <w:rsid w:val="00954E85"/>
    <w:rsid w:val="009555E5"/>
    <w:rsid w:val="0095774C"/>
    <w:rsid w:val="009631E1"/>
    <w:rsid w:val="009643B5"/>
    <w:rsid w:val="009646EA"/>
    <w:rsid w:val="0096550A"/>
    <w:rsid w:val="00967F97"/>
    <w:rsid w:val="00971F38"/>
    <w:rsid w:val="00972328"/>
    <w:rsid w:val="00972DC8"/>
    <w:rsid w:val="00974592"/>
    <w:rsid w:val="009760F6"/>
    <w:rsid w:val="00976F97"/>
    <w:rsid w:val="009808C2"/>
    <w:rsid w:val="00981DAA"/>
    <w:rsid w:val="00982662"/>
    <w:rsid w:val="009829C3"/>
    <w:rsid w:val="00985B5D"/>
    <w:rsid w:val="0098628E"/>
    <w:rsid w:val="00986AB7"/>
    <w:rsid w:val="00990A4F"/>
    <w:rsid w:val="0099127B"/>
    <w:rsid w:val="009A1244"/>
    <w:rsid w:val="009A20B9"/>
    <w:rsid w:val="009A472A"/>
    <w:rsid w:val="009A57DB"/>
    <w:rsid w:val="009B3DEF"/>
    <w:rsid w:val="009B4F4A"/>
    <w:rsid w:val="009B565E"/>
    <w:rsid w:val="009C2002"/>
    <w:rsid w:val="009C205E"/>
    <w:rsid w:val="009C2E98"/>
    <w:rsid w:val="009C3162"/>
    <w:rsid w:val="009C3E01"/>
    <w:rsid w:val="009C4077"/>
    <w:rsid w:val="009C5115"/>
    <w:rsid w:val="009C5E1E"/>
    <w:rsid w:val="009C62ED"/>
    <w:rsid w:val="009C748B"/>
    <w:rsid w:val="009D2DBB"/>
    <w:rsid w:val="009D5A47"/>
    <w:rsid w:val="009D6472"/>
    <w:rsid w:val="009E1A1F"/>
    <w:rsid w:val="009E26BB"/>
    <w:rsid w:val="009E3346"/>
    <w:rsid w:val="009E589B"/>
    <w:rsid w:val="009E59C1"/>
    <w:rsid w:val="009F2565"/>
    <w:rsid w:val="009F2A87"/>
    <w:rsid w:val="009F49FB"/>
    <w:rsid w:val="009F5AFE"/>
    <w:rsid w:val="009F624F"/>
    <w:rsid w:val="009F7A87"/>
    <w:rsid w:val="00A01D01"/>
    <w:rsid w:val="00A0506F"/>
    <w:rsid w:val="00A05B9E"/>
    <w:rsid w:val="00A1002D"/>
    <w:rsid w:val="00A109DB"/>
    <w:rsid w:val="00A20139"/>
    <w:rsid w:val="00A21440"/>
    <w:rsid w:val="00A2161F"/>
    <w:rsid w:val="00A21F55"/>
    <w:rsid w:val="00A22A9E"/>
    <w:rsid w:val="00A22F88"/>
    <w:rsid w:val="00A23E0B"/>
    <w:rsid w:val="00A26093"/>
    <w:rsid w:val="00A3004F"/>
    <w:rsid w:val="00A322AA"/>
    <w:rsid w:val="00A32D9F"/>
    <w:rsid w:val="00A342DB"/>
    <w:rsid w:val="00A42887"/>
    <w:rsid w:val="00A4542C"/>
    <w:rsid w:val="00A45BEB"/>
    <w:rsid w:val="00A46EF6"/>
    <w:rsid w:val="00A47A09"/>
    <w:rsid w:val="00A50331"/>
    <w:rsid w:val="00A56790"/>
    <w:rsid w:val="00A57A55"/>
    <w:rsid w:val="00A60217"/>
    <w:rsid w:val="00A62796"/>
    <w:rsid w:val="00A62D7B"/>
    <w:rsid w:val="00A65C39"/>
    <w:rsid w:val="00A70C4D"/>
    <w:rsid w:val="00A7177C"/>
    <w:rsid w:val="00A723F0"/>
    <w:rsid w:val="00A744BC"/>
    <w:rsid w:val="00A74CD6"/>
    <w:rsid w:val="00A77818"/>
    <w:rsid w:val="00A817EA"/>
    <w:rsid w:val="00A82006"/>
    <w:rsid w:val="00A82C5A"/>
    <w:rsid w:val="00A82EAC"/>
    <w:rsid w:val="00A84110"/>
    <w:rsid w:val="00A85B35"/>
    <w:rsid w:val="00A90411"/>
    <w:rsid w:val="00A91E69"/>
    <w:rsid w:val="00A92D0F"/>
    <w:rsid w:val="00A94D7E"/>
    <w:rsid w:val="00A97DF9"/>
    <w:rsid w:val="00AA1D6D"/>
    <w:rsid w:val="00AB0263"/>
    <w:rsid w:val="00AB0F78"/>
    <w:rsid w:val="00AB249E"/>
    <w:rsid w:val="00AB6329"/>
    <w:rsid w:val="00AB69BD"/>
    <w:rsid w:val="00AC0F07"/>
    <w:rsid w:val="00AC2071"/>
    <w:rsid w:val="00AC5075"/>
    <w:rsid w:val="00AC606F"/>
    <w:rsid w:val="00AC6E26"/>
    <w:rsid w:val="00AD4D99"/>
    <w:rsid w:val="00AE6E0C"/>
    <w:rsid w:val="00AF5732"/>
    <w:rsid w:val="00AF5C33"/>
    <w:rsid w:val="00AF6D42"/>
    <w:rsid w:val="00AF7CBD"/>
    <w:rsid w:val="00B01805"/>
    <w:rsid w:val="00B01E0E"/>
    <w:rsid w:val="00B0208E"/>
    <w:rsid w:val="00B02636"/>
    <w:rsid w:val="00B027CB"/>
    <w:rsid w:val="00B04106"/>
    <w:rsid w:val="00B04416"/>
    <w:rsid w:val="00B05311"/>
    <w:rsid w:val="00B05FF6"/>
    <w:rsid w:val="00B0669D"/>
    <w:rsid w:val="00B0697D"/>
    <w:rsid w:val="00B1131E"/>
    <w:rsid w:val="00B14C13"/>
    <w:rsid w:val="00B168D6"/>
    <w:rsid w:val="00B307FF"/>
    <w:rsid w:val="00B30F8E"/>
    <w:rsid w:val="00B3278B"/>
    <w:rsid w:val="00B35452"/>
    <w:rsid w:val="00B429B7"/>
    <w:rsid w:val="00B42C22"/>
    <w:rsid w:val="00B4678F"/>
    <w:rsid w:val="00B46B0B"/>
    <w:rsid w:val="00B53FF0"/>
    <w:rsid w:val="00B54E2A"/>
    <w:rsid w:val="00B60640"/>
    <w:rsid w:val="00B60909"/>
    <w:rsid w:val="00B61B2E"/>
    <w:rsid w:val="00B6210A"/>
    <w:rsid w:val="00B62C99"/>
    <w:rsid w:val="00B63139"/>
    <w:rsid w:val="00B661CC"/>
    <w:rsid w:val="00B679D2"/>
    <w:rsid w:val="00B70704"/>
    <w:rsid w:val="00B72CF5"/>
    <w:rsid w:val="00B7348E"/>
    <w:rsid w:val="00B766C3"/>
    <w:rsid w:val="00B777E2"/>
    <w:rsid w:val="00B8192F"/>
    <w:rsid w:val="00B87481"/>
    <w:rsid w:val="00B94D3E"/>
    <w:rsid w:val="00B977DD"/>
    <w:rsid w:val="00BA1DF8"/>
    <w:rsid w:val="00BA3DEC"/>
    <w:rsid w:val="00BA4AA5"/>
    <w:rsid w:val="00BB1FEB"/>
    <w:rsid w:val="00BB335C"/>
    <w:rsid w:val="00BC0861"/>
    <w:rsid w:val="00BC3E63"/>
    <w:rsid w:val="00BC700E"/>
    <w:rsid w:val="00BD30F0"/>
    <w:rsid w:val="00BD411B"/>
    <w:rsid w:val="00BD60A7"/>
    <w:rsid w:val="00BE18E4"/>
    <w:rsid w:val="00BE5D40"/>
    <w:rsid w:val="00BE7A71"/>
    <w:rsid w:val="00BF0E34"/>
    <w:rsid w:val="00BF18E7"/>
    <w:rsid w:val="00BF2C1E"/>
    <w:rsid w:val="00BF4975"/>
    <w:rsid w:val="00C00A1F"/>
    <w:rsid w:val="00C027B4"/>
    <w:rsid w:val="00C032D8"/>
    <w:rsid w:val="00C158C4"/>
    <w:rsid w:val="00C20A75"/>
    <w:rsid w:val="00C21609"/>
    <w:rsid w:val="00C258DD"/>
    <w:rsid w:val="00C275B5"/>
    <w:rsid w:val="00C31690"/>
    <w:rsid w:val="00C31D31"/>
    <w:rsid w:val="00C32031"/>
    <w:rsid w:val="00C3271A"/>
    <w:rsid w:val="00C32C08"/>
    <w:rsid w:val="00C357E9"/>
    <w:rsid w:val="00C35BE5"/>
    <w:rsid w:val="00C35C12"/>
    <w:rsid w:val="00C374FF"/>
    <w:rsid w:val="00C40592"/>
    <w:rsid w:val="00C40F34"/>
    <w:rsid w:val="00C42AFC"/>
    <w:rsid w:val="00C43653"/>
    <w:rsid w:val="00C43D78"/>
    <w:rsid w:val="00C43F51"/>
    <w:rsid w:val="00C47A81"/>
    <w:rsid w:val="00C50F3D"/>
    <w:rsid w:val="00C5193A"/>
    <w:rsid w:val="00C51E9C"/>
    <w:rsid w:val="00C53991"/>
    <w:rsid w:val="00C558C7"/>
    <w:rsid w:val="00C55B56"/>
    <w:rsid w:val="00C64CD5"/>
    <w:rsid w:val="00C6546F"/>
    <w:rsid w:val="00C744D3"/>
    <w:rsid w:val="00C74BD5"/>
    <w:rsid w:val="00C75E30"/>
    <w:rsid w:val="00C83740"/>
    <w:rsid w:val="00C8393E"/>
    <w:rsid w:val="00C865B1"/>
    <w:rsid w:val="00C94465"/>
    <w:rsid w:val="00C94F68"/>
    <w:rsid w:val="00C961FD"/>
    <w:rsid w:val="00C977E6"/>
    <w:rsid w:val="00CA2279"/>
    <w:rsid w:val="00CA6A55"/>
    <w:rsid w:val="00CB273A"/>
    <w:rsid w:val="00CB65AA"/>
    <w:rsid w:val="00CB7780"/>
    <w:rsid w:val="00CC0CE2"/>
    <w:rsid w:val="00CC13C7"/>
    <w:rsid w:val="00CC175C"/>
    <w:rsid w:val="00CC2B32"/>
    <w:rsid w:val="00CC33B2"/>
    <w:rsid w:val="00CC378D"/>
    <w:rsid w:val="00CC7F75"/>
    <w:rsid w:val="00CD03CE"/>
    <w:rsid w:val="00CD0742"/>
    <w:rsid w:val="00CD130B"/>
    <w:rsid w:val="00CD3323"/>
    <w:rsid w:val="00CD3697"/>
    <w:rsid w:val="00CD7125"/>
    <w:rsid w:val="00CE2716"/>
    <w:rsid w:val="00CE3BB1"/>
    <w:rsid w:val="00CE521D"/>
    <w:rsid w:val="00CF2D23"/>
    <w:rsid w:val="00CF2DF2"/>
    <w:rsid w:val="00CF331C"/>
    <w:rsid w:val="00CF3C28"/>
    <w:rsid w:val="00CF7F25"/>
    <w:rsid w:val="00D00011"/>
    <w:rsid w:val="00D004E3"/>
    <w:rsid w:val="00D01B15"/>
    <w:rsid w:val="00D04557"/>
    <w:rsid w:val="00D06389"/>
    <w:rsid w:val="00D066A1"/>
    <w:rsid w:val="00D22170"/>
    <w:rsid w:val="00D22BAC"/>
    <w:rsid w:val="00D231D4"/>
    <w:rsid w:val="00D2336C"/>
    <w:rsid w:val="00D24163"/>
    <w:rsid w:val="00D25CF7"/>
    <w:rsid w:val="00D26F09"/>
    <w:rsid w:val="00D3010B"/>
    <w:rsid w:val="00D3026E"/>
    <w:rsid w:val="00D30907"/>
    <w:rsid w:val="00D30DE3"/>
    <w:rsid w:val="00D311B2"/>
    <w:rsid w:val="00D32F9C"/>
    <w:rsid w:val="00D36541"/>
    <w:rsid w:val="00D41E0D"/>
    <w:rsid w:val="00D445F5"/>
    <w:rsid w:val="00D44765"/>
    <w:rsid w:val="00D53879"/>
    <w:rsid w:val="00D55735"/>
    <w:rsid w:val="00D565AE"/>
    <w:rsid w:val="00D6104D"/>
    <w:rsid w:val="00D6605A"/>
    <w:rsid w:val="00D70E2A"/>
    <w:rsid w:val="00D71600"/>
    <w:rsid w:val="00D720A9"/>
    <w:rsid w:val="00D750BB"/>
    <w:rsid w:val="00D75A99"/>
    <w:rsid w:val="00D82A60"/>
    <w:rsid w:val="00D85974"/>
    <w:rsid w:val="00D87CA8"/>
    <w:rsid w:val="00D92A64"/>
    <w:rsid w:val="00D92EF4"/>
    <w:rsid w:val="00D93BEE"/>
    <w:rsid w:val="00DA1A68"/>
    <w:rsid w:val="00DA2A29"/>
    <w:rsid w:val="00DA3C37"/>
    <w:rsid w:val="00DA5B4A"/>
    <w:rsid w:val="00DB01B4"/>
    <w:rsid w:val="00DB1A81"/>
    <w:rsid w:val="00DB7508"/>
    <w:rsid w:val="00DC0C91"/>
    <w:rsid w:val="00DC0CB0"/>
    <w:rsid w:val="00DC2C2F"/>
    <w:rsid w:val="00DC320B"/>
    <w:rsid w:val="00DC6BB8"/>
    <w:rsid w:val="00DC7676"/>
    <w:rsid w:val="00DD1C35"/>
    <w:rsid w:val="00DE08AC"/>
    <w:rsid w:val="00DE47D6"/>
    <w:rsid w:val="00DE518E"/>
    <w:rsid w:val="00DF01C6"/>
    <w:rsid w:val="00DF074B"/>
    <w:rsid w:val="00DF2621"/>
    <w:rsid w:val="00DF35F2"/>
    <w:rsid w:val="00E00157"/>
    <w:rsid w:val="00E02E83"/>
    <w:rsid w:val="00E034ED"/>
    <w:rsid w:val="00E05F08"/>
    <w:rsid w:val="00E05FE1"/>
    <w:rsid w:val="00E060DB"/>
    <w:rsid w:val="00E10129"/>
    <w:rsid w:val="00E11EF8"/>
    <w:rsid w:val="00E1378E"/>
    <w:rsid w:val="00E16E48"/>
    <w:rsid w:val="00E174A9"/>
    <w:rsid w:val="00E20EDF"/>
    <w:rsid w:val="00E211A0"/>
    <w:rsid w:val="00E239D2"/>
    <w:rsid w:val="00E24A38"/>
    <w:rsid w:val="00E24FFD"/>
    <w:rsid w:val="00E27B82"/>
    <w:rsid w:val="00E27C33"/>
    <w:rsid w:val="00E30149"/>
    <w:rsid w:val="00E31BF8"/>
    <w:rsid w:val="00E3232E"/>
    <w:rsid w:val="00E332F6"/>
    <w:rsid w:val="00E333BA"/>
    <w:rsid w:val="00E344CB"/>
    <w:rsid w:val="00E34C52"/>
    <w:rsid w:val="00E37D56"/>
    <w:rsid w:val="00E40570"/>
    <w:rsid w:val="00E40ABA"/>
    <w:rsid w:val="00E428BB"/>
    <w:rsid w:val="00E43550"/>
    <w:rsid w:val="00E44078"/>
    <w:rsid w:val="00E446B5"/>
    <w:rsid w:val="00E44A82"/>
    <w:rsid w:val="00E50C77"/>
    <w:rsid w:val="00E50F4F"/>
    <w:rsid w:val="00E51184"/>
    <w:rsid w:val="00E53638"/>
    <w:rsid w:val="00E53ED1"/>
    <w:rsid w:val="00E54968"/>
    <w:rsid w:val="00E56611"/>
    <w:rsid w:val="00E60688"/>
    <w:rsid w:val="00E6520A"/>
    <w:rsid w:val="00E65A7C"/>
    <w:rsid w:val="00E66049"/>
    <w:rsid w:val="00E719C6"/>
    <w:rsid w:val="00E71D72"/>
    <w:rsid w:val="00E724D9"/>
    <w:rsid w:val="00E740A5"/>
    <w:rsid w:val="00E74F28"/>
    <w:rsid w:val="00E75440"/>
    <w:rsid w:val="00E77519"/>
    <w:rsid w:val="00E77E85"/>
    <w:rsid w:val="00E80F9A"/>
    <w:rsid w:val="00E821C7"/>
    <w:rsid w:val="00E82439"/>
    <w:rsid w:val="00E8308A"/>
    <w:rsid w:val="00E87649"/>
    <w:rsid w:val="00E917F4"/>
    <w:rsid w:val="00E94F3F"/>
    <w:rsid w:val="00E96817"/>
    <w:rsid w:val="00E970AD"/>
    <w:rsid w:val="00EA0C10"/>
    <w:rsid w:val="00EA2037"/>
    <w:rsid w:val="00EA4D24"/>
    <w:rsid w:val="00EA720B"/>
    <w:rsid w:val="00EB1C24"/>
    <w:rsid w:val="00EB269F"/>
    <w:rsid w:val="00EB2995"/>
    <w:rsid w:val="00EB30C9"/>
    <w:rsid w:val="00EB53D7"/>
    <w:rsid w:val="00EB5C6C"/>
    <w:rsid w:val="00EC0A84"/>
    <w:rsid w:val="00EC0F51"/>
    <w:rsid w:val="00EC2217"/>
    <w:rsid w:val="00EC2B7F"/>
    <w:rsid w:val="00EC3157"/>
    <w:rsid w:val="00EC5DAE"/>
    <w:rsid w:val="00ED2822"/>
    <w:rsid w:val="00ED2B77"/>
    <w:rsid w:val="00ED426B"/>
    <w:rsid w:val="00ED64DA"/>
    <w:rsid w:val="00EE05D9"/>
    <w:rsid w:val="00EE0CE8"/>
    <w:rsid w:val="00EE1439"/>
    <w:rsid w:val="00EE2E61"/>
    <w:rsid w:val="00EE5145"/>
    <w:rsid w:val="00EE6443"/>
    <w:rsid w:val="00EE6992"/>
    <w:rsid w:val="00EE6BF8"/>
    <w:rsid w:val="00EE6D81"/>
    <w:rsid w:val="00EE7C73"/>
    <w:rsid w:val="00EF2590"/>
    <w:rsid w:val="00EF3187"/>
    <w:rsid w:val="00EF31BF"/>
    <w:rsid w:val="00EF3C36"/>
    <w:rsid w:val="00EF43B8"/>
    <w:rsid w:val="00EF776B"/>
    <w:rsid w:val="00F01124"/>
    <w:rsid w:val="00F011F8"/>
    <w:rsid w:val="00F06299"/>
    <w:rsid w:val="00F100EA"/>
    <w:rsid w:val="00F10233"/>
    <w:rsid w:val="00F127D1"/>
    <w:rsid w:val="00F13747"/>
    <w:rsid w:val="00F1392C"/>
    <w:rsid w:val="00F14691"/>
    <w:rsid w:val="00F16AE3"/>
    <w:rsid w:val="00F220CB"/>
    <w:rsid w:val="00F22B34"/>
    <w:rsid w:val="00F27D9E"/>
    <w:rsid w:val="00F3386C"/>
    <w:rsid w:val="00F353FE"/>
    <w:rsid w:val="00F3648B"/>
    <w:rsid w:val="00F41608"/>
    <w:rsid w:val="00F43299"/>
    <w:rsid w:val="00F47B49"/>
    <w:rsid w:val="00F51D3A"/>
    <w:rsid w:val="00F53208"/>
    <w:rsid w:val="00F53566"/>
    <w:rsid w:val="00F546B7"/>
    <w:rsid w:val="00F55969"/>
    <w:rsid w:val="00F57251"/>
    <w:rsid w:val="00F575D6"/>
    <w:rsid w:val="00F60741"/>
    <w:rsid w:val="00F60DAE"/>
    <w:rsid w:val="00F66918"/>
    <w:rsid w:val="00F67961"/>
    <w:rsid w:val="00F71A45"/>
    <w:rsid w:val="00F73ABD"/>
    <w:rsid w:val="00F751A2"/>
    <w:rsid w:val="00F825D4"/>
    <w:rsid w:val="00F84614"/>
    <w:rsid w:val="00F84BAC"/>
    <w:rsid w:val="00F84F35"/>
    <w:rsid w:val="00F91704"/>
    <w:rsid w:val="00F91DD4"/>
    <w:rsid w:val="00FA1E5A"/>
    <w:rsid w:val="00FA49AA"/>
    <w:rsid w:val="00FA4B83"/>
    <w:rsid w:val="00FA5F08"/>
    <w:rsid w:val="00FB05ED"/>
    <w:rsid w:val="00FB0635"/>
    <w:rsid w:val="00FB066D"/>
    <w:rsid w:val="00FB105C"/>
    <w:rsid w:val="00FB1FF2"/>
    <w:rsid w:val="00FB22E9"/>
    <w:rsid w:val="00FB2472"/>
    <w:rsid w:val="00FB5B04"/>
    <w:rsid w:val="00FB7716"/>
    <w:rsid w:val="00FC1F55"/>
    <w:rsid w:val="00FC3A09"/>
    <w:rsid w:val="00FC45E5"/>
    <w:rsid w:val="00FC4D92"/>
    <w:rsid w:val="00FC5B24"/>
    <w:rsid w:val="00FC7B0A"/>
    <w:rsid w:val="00FD724C"/>
    <w:rsid w:val="00FE3796"/>
    <w:rsid w:val="00FE6554"/>
    <w:rsid w:val="00FF35DC"/>
    <w:rsid w:val="00FF703D"/>
    <w:rsid w:val="00FF7044"/>
    <w:rsid w:val="537801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99" w:semiHidden="0" w:name="heading 6"/>
    <w:lsdException w:qFormat="1" w:unhideWhenUsed="0" w:uiPriority="0" w:semiHidden="0" w:name="heading 7"/>
    <w:lsdException w:qFormat="1" w:unhideWhenUsed="0" w:uiPriority="99" w:semiHidden="0" w:name="heading 8"/>
    <w:lsdException w:qFormat="1" w:unhideWhenUsed="0" w:uiPriority="9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nhideWhenUsed="0" w:uiPriority="0" w:semiHidden="0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rPr>
      <w:rFonts w:ascii="Times New Roman" w:hAnsi="Times New Roman" w:cs="Times New Roman" w:eastAsiaTheme="minorEastAsia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link w:val="40"/>
    <w:qFormat/>
    <w:uiPriority w:val="0"/>
    <w:pPr>
      <w:keepNext/>
      <w:tabs>
        <w:tab w:val="left" w:pos="708"/>
      </w:tabs>
      <w:suppressAutoHyphens/>
      <w:spacing w:before="320" w:after="180" w:line="100" w:lineRule="atLeast"/>
      <w:jc w:val="center"/>
      <w:outlineLvl w:val="0"/>
    </w:pPr>
    <w:rPr>
      <w:rFonts w:ascii="Calibri" w:hAnsi="Calibri" w:eastAsia="Times New Roman" w:cs="Calibri"/>
      <w:b/>
      <w:sz w:val="20"/>
      <w:szCs w:val="20"/>
    </w:rPr>
  </w:style>
  <w:style w:type="paragraph" w:styleId="3">
    <w:name w:val="heading 2"/>
    <w:basedOn w:val="1"/>
    <w:next w:val="1"/>
    <w:link w:val="49"/>
    <w:qFormat/>
    <w:uiPriority w:val="0"/>
    <w:pPr>
      <w:keepLines/>
      <w:tabs>
        <w:tab w:val="left" w:pos="708"/>
      </w:tabs>
      <w:suppressAutoHyphens/>
      <w:spacing w:before="120" w:line="100" w:lineRule="atLeast"/>
      <w:jc w:val="both"/>
      <w:outlineLvl w:val="1"/>
    </w:pPr>
    <w:rPr>
      <w:rFonts w:eastAsia="Times New Roman"/>
      <w:sz w:val="26"/>
      <w:szCs w:val="20"/>
    </w:rPr>
  </w:style>
  <w:style w:type="paragraph" w:styleId="4">
    <w:name w:val="heading 3"/>
    <w:basedOn w:val="1"/>
    <w:next w:val="1"/>
    <w:link w:val="42"/>
    <w:qFormat/>
    <w:uiPriority w:val="0"/>
    <w:pPr>
      <w:tabs>
        <w:tab w:val="left" w:pos="708"/>
      </w:tabs>
      <w:suppressAutoHyphens/>
      <w:spacing w:before="120" w:line="100" w:lineRule="atLeast"/>
      <w:jc w:val="both"/>
      <w:outlineLvl w:val="2"/>
    </w:pPr>
    <w:rPr>
      <w:rFonts w:eastAsia="Times New Roman"/>
      <w:sz w:val="26"/>
      <w:szCs w:val="20"/>
    </w:rPr>
  </w:style>
  <w:style w:type="paragraph" w:styleId="5">
    <w:name w:val="heading 4"/>
    <w:basedOn w:val="1"/>
    <w:next w:val="1"/>
    <w:link w:val="43"/>
    <w:qFormat/>
    <w:uiPriority w:val="0"/>
    <w:pPr>
      <w:keepNext/>
      <w:tabs>
        <w:tab w:val="left" w:pos="708"/>
      </w:tabs>
      <w:suppressAutoHyphens/>
      <w:spacing w:before="240" w:after="60" w:line="100" w:lineRule="atLeast"/>
      <w:jc w:val="both"/>
      <w:outlineLvl w:val="3"/>
    </w:pPr>
    <w:rPr>
      <w:rFonts w:eastAsia="Times New Roman"/>
      <w:b/>
      <w:i/>
      <w:sz w:val="26"/>
      <w:szCs w:val="20"/>
    </w:rPr>
  </w:style>
  <w:style w:type="paragraph" w:styleId="6">
    <w:name w:val="heading 5"/>
    <w:basedOn w:val="1"/>
    <w:next w:val="1"/>
    <w:link w:val="44"/>
    <w:qFormat/>
    <w:uiPriority w:val="0"/>
    <w:pPr>
      <w:tabs>
        <w:tab w:val="left" w:pos="708"/>
      </w:tabs>
      <w:suppressAutoHyphens/>
      <w:spacing w:before="240" w:after="60" w:line="100" w:lineRule="atLeast"/>
      <w:jc w:val="both"/>
      <w:outlineLvl w:val="4"/>
    </w:pPr>
    <w:rPr>
      <w:rFonts w:ascii="Arial" w:hAnsi="Arial" w:eastAsia="Times New Roman"/>
      <w:sz w:val="22"/>
      <w:szCs w:val="20"/>
    </w:rPr>
  </w:style>
  <w:style w:type="paragraph" w:styleId="7">
    <w:name w:val="heading 6"/>
    <w:basedOn w:val="1"/>
    <w:next w:val="1"/>
    <w:link w:val="45"/>
    <w:qFormat/>
    <w:uiPriority w:val="99"/>
    <w:pPr>
      <w:tabs>
        <w:tab w:val="left" w:pos="708"/>
      </w:tabs>
      <w:suppressAutoHyphens/>
      <w:spacing w:before="240" w:after="60" w:line="100" w:lineRule="atLeast"/>
      <w:jc w:val="both"/>
      <w:outlineLvl w:val="5"/>
    </w:pPr>
    <w:rPr>
      <w:rFonts w:ascii="Arial" w:hAnsi="Arial" w:eastAsia="Times New Roman"/>
      <w:i/>
      <w:sz w:val="22"/>
      <w:szCs w:val="20"/>
    </w:rPr>
  </w:style>
  <w:style w:type="paragraph" w:styleId="8">
    <w:name w:val="heading 7"/>
    <w:basedOn w:val="1"/>
    <w:next w:val="1"/>
    <w:link w:val="46"/>
    <w:qFormat/>
    <w:uiPriority w:val="0"/>
    <w:pPr>
      <w:tabs>
        <w:tab w:val="left" w:pos="708"/>
      </w:tabs>
      <w:suppressAutoHyphens/>
      <w:spacing w:before="240" w:after="60" w:line="100" w:lineRule="atLeast"/>
      <w:jc w:val="both"/>
      <w:outlineLvl w:val="6"/>
    </w:pPr>
    <w:rPr>
      <w:rFonts w:ascii="Arial" w:hAnsi="Arial" w:eastAsia="Times New Roman"/>
      <w:sz w:val="20"/>
      <w:szCs w:val="20"/>
    </w:rPr>
  </w:style>
  <w:style w:type="paragraph" w:styleId="9">
    <w:name w:val="heading 8"/>
    <w:basedOn w:val="1"/>
    <w:next w:val="1"/>
    <w:link w:val="47"/>
    <w:qFormat/>
    <w:uiPriority w:val="99"/>
    <w:pPr>
      <w:tabs>
        <w:tab w:val="left" w:pos="708"/>
      </w:tabs>
      <w:suppressAutoHyphens/>
      <w:spacing w:before="240" w:after="60" w:line="100" w:lineRule="atLeast"/>
      <w:jc w:val="both"/>
      <w:outlineLvl w:val="7"/>
    </w:pPr>
    <w:rPr>
      <w:rFonts w:ascii="Arial" w:hAnsi="Arial" w:eastAsia="Times New Roman"/>
      <w:i/>
      <w:sz w:val="20"/>
      <w:szCs w:val="20"/>
    </w:rPr>
  </w:style>
  <w:style w:type="paragraph" w:styleId="10">
    <w:name w:val="heading 9"/>
    <w:basedOn w:val="1"/>
    <w:next w:val="1"/>
    <w:link w:val="48"/>
    <w:qFormat/>
    <w:uiPriority w:val="99"/>
    <w:pPr>
      <w:tabs>
        <w:tab w:val="left" w:pos="708"/>
      </w:tabs>
      <w:suppressAutoHyphens/>
      <w:spacing w:before="240" w:after="60" w:line="100" w:lineRule="atLeast"/>
      <w:jc w:val="both"/>
      <w:outlineLvl w:val="8"/>
    </w:pPr>
    <w:rPr>
      <w:rFonts w:ascii="Arial" w:hAnsi="Arial" w:eastAsia="Times New Roman"/>
      <w:i/>
      <w:sz w:val="18"/>
      <w:szCs w:val="20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uiPriority w:val="99"/>
    <w:rPr>
      <w:sz w:val="16"/>
      <w:szCs w:val="16"/>
    </w:rPr>
  </w:style>
  <w:style w:type="character" w:styleId="14">
    <w:name w:val="Hyperlink"/>
    <w:basedOn w:val="11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page number"/>
    <w:basedOn w:val="11"/>
    <w:semiHidden/>
    <w:unhideWhenUsed/>
    <w:uiPriority w:val="0"/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Balloon Text"/>
    <w:basedOn w:val="1"/>
    <w:link w:val="39"/>
    <w:semiHidden/>
    <w:unhideWhenUsed/>
    <w:qFormat/>
    <w:uiPriority w:val="99"/>
    <w:rPr>
      <w:rFonts w:ascii="Segoe UI" w:hAnsi="Segoe UI" w:cs="Segoe UI" w:eastAsiaTheme="majorEastAsia"/>
      <w:sz w:val="18"/>
      <w:szCs w:val="18"/>
      <w:lang w:val="en-US" w:eastAsia="en-US" w:bidi="en-US"/>
    </w:rPr>
  </w:style>
  <w:style w:type="paragraph" w:styleId="18">
    <w:name w:val="annotation text"/>
    <w:basedOn w:val="1"/>
    <w:link w:val="50"/>
    <w:semiHidden/>
    <w:unhideWhenUsed/>
    <w:uiPriority w:val="99"/>
    <w:pPr>
      <w:spacing w:after="200"/>
    </w:pPr>
    <w:rPr>
      <w:rFonts w:asciiTheme="majorHAnsi" w:hAnsiTheme="majorHAnsi" w:eastAsiaTheme="majorEastAsia" w:cstheme="majorBidi"/>
      <w:sz w:val="20"/>
      <w:szCs w:val="20"/>
      <w:lang w:val="en-US" w:eastAsia="en-US" w:bidi="en-US"/>
    </w:rPr>
  </w:style>
  <w:style w:type="paragraph" w:styleId="19">
    <w:name w:val="annotation subject"/>
    <w:basedOn w:val="18"/>
    <w:next w:val="18"/>
    <w:link w:val="51"/>
    <w:semiHidden/>
    <w:unhideWhenUsed/>
    <w:uiPriority w:val="99"/>
    <w:rPr>
      <w:b/>
      <w:bCs/>
    </w:rPr>
  </w:style>
  <w:style w:type="paragraph" w:styleId="20">
    <w:name w:val="header"/>
    <w:basedOn w:val="1"/>
    <w:link w:val="63"/>
    <w:unhideWhenUsed/>
    <w:uiPriority w:val="99"/>
    <w:pPr>
      <w:tabs>
        <w:tab w:val="center" w:pos="4677"/>
        <w:tab w:val="right" w:pos="9355"/>
      </w:tabs>
    </w:pPr>
  </w:style>
  <w:style w:type="paragraph" w:styleId="21">
    <w:name w:val="Body Text"/>
    <w:basedOn w:val="1"/>
    <w:link w:val="66"/>
    <w:unhideWhenUsed/>
    <w:uiPriority w:val="99"/>
    <w:pPr>
      <w:spacing w:after="120"/>
    </w:pPr>
  </w:style>
  <w:style w:type="paragraph" w:styleId="22">
    <w:name w:val="Title"/>
    <w:basedOn w:val="1"/>
    <w:next w:val="1"/>
    <w:link w:val="64"/>
    <w:qFormat/>
    <w:uiPriority w:val="10"/>
    <w:rPr>
      <w:rFonts w:ascii="Helvetica" w:hAnsi="Helvetica" w:eastAsiaTheme="minorHAnsi" w:cstheme="minorBidi"/>
      <w:sz w:val="18"/>
      <w:szCs w:val="18"/>
      <w:lang w:eastAsia="en-US"/>
    </w:rPr>
  </w:style>
  <w:style w:type="paragraph" w:styleId="23">
    <w:name w:val="footer"/>
    <w:basedOn w:val="1"/>
    <w:link w:val="62"/>
    <w:unhideWhenUsed/>
    <w:uiPriority w:val="99"/>
    <w:pPr>
      <w:tabs>
        <w:tab w:val="center" w:pos="4677"/>
        <w:tab w:val="right" w:pos="9355"/>
      </w:tabs>
    </w:pPr>
  </w:style>
  <w:style w:type="paragraph" w:styleId="24">
    <w:name w:val="List Number"/>
    <w:basedOn w:val="1"/>
    <w:uiPriority w:val="0"/>
    <w:pPr>
      <w:tabs>
        <w:tab w:val="left" w:pos="720"/>
      </w:tabs>
      <w:spacing w:before="120"/>
      <w:ind w:left="720" w:hanging="550"/>
      <w:jc w:val="both"/>
    </w:pPr>
    <w:rPr>
      <w:rFonts w:eastAsia="Times New Roman"/>
      <w:szCs w:val="20"/>
    </w:rPr>
  </w:style>
  <w:style w:type="paragraph" w:styleId="25">
    <w:name w:val="Normal (Web)"/>
    <w:basedOn w:val="1"/>
    <w:unhideWhenUsed/>
    <w:uiPriority w:val="99"/>
    <w:pPr>
      <w:spacing w:before="100" w:beforeAutospacing="1" w:after="100" w:afterAutospacing="1"/>
    </w:pPr>
    <w:rPr>
      <w:rFonts w:eastAsia="Times New Roman"/>
    </w:rPr>
  </w:style>
  <w:style w:type="paragraph" w:styleId="26">
    <w:name w:val="Body Text 3"/>
    <w:basedOn w:val="1"/>
    <w:link w:val="53"/>
    <w:semiHidden/>
    <w:unhideWhenUsed/>
    <w:uiPriority w:val="99"/>
    <w:pPr>
      <w:spacing w:after="120" w:line="252" w:lineRule="auto"/>
    </w:pPr>
    <w:rPr>
      <w:rFonts w:asciiTheme="majorHAnsi" w:hAnsiTheme="majorHAnsi" w:eastAsiaTheme="majorEastAsia" w:cstheme="majorBidi"/>
      <w:sz w:val="16"/>
      <w:szCs w:val="16"/>
      <w:lang w:val="en-US" w:eastAsia="en-US" w:bidi="en-US"/>
    </w:rPr>
  </w:style>
  <w:style w:type="table" w:styleId="27">
    <w:name w:val="Table Grid"/>
    <w:basedOn w:val="12"/>
    <w:qFormat/>
    <w:uiPriority w:val="39"/>
    <w:rPr>
      <w:rFonts w:asciiTheme="majorHAnsi" w:hAnsiTheme="majorHAnsi" w:eastAsiaTheme="majorEastAsia" w:cstheme="majorBidi"/>
      <w:sz w:val="22"/>
      <w:szCs w:val="22"/>
      <w:lang w:val="en-US" w:bidi="en-US"/>
    </w:r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customStyle="1" w:styleId="28">
    <w:name w:val="Пункт1"/>
    <w:basedOn w:val="1"/>
    <w:qFormat/>
    <w:uiPriority w:val="0"/>
    <w:pPr>
      <w:tabs>
        <w:tab w:val="left" w:pos="2835"/>
      </w:tabs>
      <w:suppressAutoHyphens/>
      <w:ind w:left="567" w:hanging="567"/>
      <w:jc w:val="both"/>
    </w:pPr>
    <w:rPr>
      <w:rFonts w:eastAsia="MS Mincho" w:cs="Courier New"/>
      <w:szCs w:val="20"/>
      <w:lang w:eastAsia="ar-SA"/>
    </w:rPr>
  </w:style>
  <w:style w:type="paragraph" w:customStyle="1" w:styleId="29">
    <w:name w:val="1.1"/>
    <w:basedOn w:val="28"/>
    <w:qFormat/>
    <w:uiPriority w:val="0"/>
    <w:pPr>
      <w:tabs>
        <w:tab w:val="clear" w:pos="2835"/>
      </w:tabs>
      <w:spacing w:before="204" w:beforeLines="85" w:after="204" w:afterLines="85"/>
    </w:pPr>
    <w:rPr>
      <w:rFonts w:ascii="Tahoma" w:hAnsi="Tahoma" w:cs="Tahoma"/>
      <w:color w:val="000000"/>
      <w:sz w:val="18"/>
      <w:szCs w:val="18"/>
    </w:rPr>
  </w:style>
  <w:style w:type="paragraph" w:customStyle="1" w:styleId="30">
    <w:name w:val="Пункт 1.1"/>
    <w:basedOn w:val="28"/>
    <w:qFormat/>
    <w:uiPriority w:val="0"/>
    <w:pPr>
      <w:numPr>
        <w:ilvl w:val="1"/>
        <w:numId w:val="1"/>
      </w:numPr>
      <w:tabs>
        <w:tab w:val="clear" w:pos="0"/>
        <w:tab w:val="clear" w:pos="2835"/>
      </w:tabs>
      <w:spacing w:before="204" w:beforeLines="85" w:after="204" w:afterLines="85"/>
      <w:ind w:left="567" w:hanging="567"/>
    </w:pPr>
    <w:rPr>
      <w:rFonts w:ascii="Tahoma" w:hAnsi="Tahoma" w:cs="Tahoma"/>
      <w:color w:val="000000"/>
      <w:sz w:val="18"/>
      <w:szCs w:val="18"/>
    </w:rPr>
  </w:style>
  <w:style w:type="paragraph" w:styleId="31">
    <w:name w:val="List Paragraph"/>
    <w:basedOn w:val="1"/>
    <w:link w:val="58"/>
    <w:qFormat/>
    <w:uiPriority w:val="34"/>
    <w:pPr>
      <w:ind w:left="720"/>
      <w:contextualSpacing/>
    </w:pPr>
  </w:style>
  <w:style w:type="paragraph" w:customStyle="1" w:styleId="32">
    <w:name w:val="2 ур"/>
    <w:basedOn w:val="31"/>
    <w:autoRedefine/>
    <w:qFormat/>
    <w:uiPriority w:val="0"/>
    <w:pPr>
      <w:numPr>
        <w:ilvl w:val="0"/>
        <w:numId w:val="2"/>
      </w:numPr>
    </w:pPr>
    <w:rPr>
      <w:rFonts w:ascii="Tahoma" w:hAnsi="Tahoma" w:cs="Tahoma"/>
      <w:sz w:val="18"/>
      <w:szCs w:val="18"/>
    </w:rPr>
  </w:style>
  <w:style w:type="paragraph" w:customStyle="1" w:styleId="33">
    <w:name w:val="Стиль1"/>
    <w:basedOn w:val="1"/>
    <w:qFormat/>
    <w:uiPriority w:val="0"/>
    <w:pPr>
      <w:numPr>
        <w:ilvl w:val="0"/>
        <w:numId w:val="3"/>
      </w:numPr>
    </w:pPr>
    <w:rPr>
      <w:rFonts w:ascii="Tahoma" w:hAnsi="Tahoma"/>
      <w:sz w:val="18"/>
    </w:rPr>
  </w:style>
  <w:style w:type="paragraph" w:customStyle="1" w:styleId="34">
    <w:name w:val="Стиль2"/>
    <w:basedOn w:val="1"/>
    <w:qFormat/>
    <w:uiPriority w:val="0"/>
    <w:pPr>
      <w:numPr>
        <w:ilvl w:val="0"/>
        <w:numId w:val="4"/>
      </w:numPr>
      <w:ind w:left="360"/>
    </w:pPr>
  </w:style>
  <w:style w:type="paragraph" w:customStyle="1" w:styleId="35">
    <w:name w:val="2ур"/>
    <w:basedOn w:val="31"/>
    <w:link w:val="59"/>
    <w:qFormat/>
    <w:uiPriority w:val="0"/>
    <w:pPr>
      <w:widowControl w:val="0"/>
      <w:numPr>
        <w:ilvl w:val="1"/>
        <w:numId w:val="5"/>
      </w:numPr>
      <w:tabs>
        <w:tab w:val="left" w:pos="1276"/>
      </w:tabs>
      <w:autoSpaceDE w:val="0"/>
      <w:autoSpaceDN w:val="0"/>
      <w:adjustRightInd w:val="0"/>
      <w:spacing w:after="160"/>
      <w:ind w:left="0" w:right="-6"/>
      <w:contextualSpacing w:val="0"/>
      <w:jc w:val="both"/>
    </w:pPr>
    <w:rPr>
      <w:rFonts w:ascii="Tahoma" w:hAnsi="Tahoma" w:cs="Tahoma"/>
      <w:sz w:val="18"/>
      <w:szCs w:val="20"/>
    </w:rPr>
  </w:style>
  <w:style w:type="paragraph" w:customStyle="1" w:styleId="36">
    <w:name w:val="Договор"/>
    <w:basedOn w:val="1"/>
    <w:link w:val="37"/>
    <w:qFormat/>
    <w:uiPriority w:val="0"/>
    <w:pPr>
      <w:numPr>
        <w:ilvl w:val="0"/>
        <w:numId w:val="6"/>
      </w:numPr>
    </w:pPr>
  </w:style>
  <w:style w:type="character" w:customStyle="1" w:styleId="37">
    <w:name w:val="Договор Знак"/>
    <w:link w:val="36"/>
    <w:qFormat/>
    <w:uiPriority w:val="0"/>
    <w:rPr>
      <w:rFonts w:ascii="Times New Roman" w:hAnsi="Times New Roman" w:cs="Times New Roman"/>
      <w:lang w:eastAsia="ru-RU"/>
    </w:rPr>
  </w:style>
  <w:style w:type="paragraph" w:customStyle="1" w:styleId="38">
    <w:name w:val="EY LETTER BODY"/>
    <w:basedOn w:val="1"/>
    <w:qFormat/>
    <w:uiPriority w:val="0"/>
    <w:pPr>
      <w:overflowPunct w:val="0"/>
      <w:autoSpaceDE w:val="0"/>
      <w:autoSpaceDN w:val="0"/>
      <w:adjustRightInd w:val="0"/>
      <w:spacing w:after="180" w:line="260" w:lineRule="exact"/>
      <w:textAlignment w:val="baseline"/>
    </w:pPr>
    <w:rPr>
      <w:rFonts w:eastAsia="Calibri"/>
      <w:sz w:val="22"/>
      <w:szCs w:val="20"/>
      <w:lang w:val="en-US" w:eastAsia="en-US"/>
    </w:rPr>
  </w:style>
  <w:style w:type="character" w:customStyle="1" w:styleId="39">
    <w:name w:val="Текст выноски Знак"/>
    <w:basedOn w:val="11"/>
    <w:link w:val="17"/>
    <w:semiHidden/>
    <w:qFormat/>
    <w:uiPriority w:val="99"/>
    <w:rPr>
      <w:rFonts w:ascii="Segoe UI" w:hAnsi="Segoe UI" w:cs="Segoe UI" w:eastAsiaTheme="majorEastAsia"/>
      <w:sz w:val="18"/>
      <w:szCs w:val="18"/>
      <w:lang w:val="en-US" w:bidi="en-US"/>
    </w:rPr>
  </w:style>
  <w:style w:type="character" w:customStyle="1" w:styleId="40">
    <w:name w:val="Заголовок 1 Знак"/>
    <w:basedOn w:val="11"/>
    <w:link w:val="2"/>
    <w:qFormat/>
    <w:uiPriority w:val="99"/>
    <w:rPr>
      <w:rFonts w:ascii="Calibri" w:hAnsi="Calibri" w:eastAsia="Times New Roman" w:cs="Calibri"/>
      <w:b/>
      <w:sz w:val="20"/>
      <w:szCs w:val="20"/>
      <w:lang w:eastAsia="ru-RU"/>
    </w:rPr>
  </w:style>
  <w:style w:type="character" w:customStyle="1" w:styleId="41">
    <w:name w:val="Заголовок 2 Знак"/>
    <w:basedOn w:val="11"/>
    <w:semiHidden/>
    <w:uiPriority w:val="9"/>
    <w:rPr>
      <w:rFonts w:asciiTheme="majorHAnsi" w:hAnsiTheme="majorHAnsi" w:eastAsiaTheme="majorEastAsia" w:cstheme="majorBidi"/>
      <w:color w:val="376092" w:themeColor="accent1" w:themeShade="BF"/>
      <w:sz w:val="26"/>
      <w:szCs w:val="26"/>
      <w:lang w:val="en-US" w:bidi="en-US"/>
    </w:rPr>
  </w:style>
  <w:style w:type="character" w:customStyle="1" w:styleId="42">
    <w:name w:val="Заголовок 3 Знак"/>
    <w:basedOn w:val="11"/>
    <w:link w:val="4"/>
    <w:uiPriority w:val="99"/>
    <w:rPr>
      <w:rFonts w:ascii="Times New Roman" w:hAnsi="Times New Roman" w:eastAsia="Times New Roman" w:cs="Times New Roman"/>
      <w:sz w:val="26"/>
      <w:szCs w:val="20"/>
      <w:lang w:eastAsia="ru-RU"/>
    </w:rPr>
  </w:style>
  <w:style w:type="character" w:customStyle="1" w:styleId="43">
    <w:name w:val="Заголовок 4 Знак"/>
    <w:basedOn w:val="11"/>
    <w:link w:val="5"/>
    <w:uiPriority w:val="99"/>
    <w:rPr>
      <w:rFonts w:ascii="Times New Roman" w:hAnsi="Times New Roman" w:eastAsia="Times New Roman" w:cs="Times New Roman"/>
      <w:b/>
      <w:i/>
      <w:sz w:val="26"/>
      <w:szCs w:val="20"/>
      <w:lang w:eastAsia="ru-RU"/>
    </w:rPr>
  </w:style>
  <w:style w:type="character" w:customStyle="1" w:styleId="44">
    <w:name w:val="Заголовок 5 Знак"/>
    <w:basedOn w:val="11"/>
    <w:link w:val="6"/>
    <w:uiPriority w:val="99"/>
    <w:rPr>
      <w:rFonts w:ascii="Arial" w:hAnsi="Arial" w:eastAsia="Times New Roman" w:cs="Times New Roman"/>
      <w:sz w:val="22"/>
      <w:szCs w:val="20"/>
      <w:lang w:eastAsia="ru-RU"/>
    </w:rPr>
  </w:style>
  <w:style w:type="character" w:customStyle="1" w:styleId="45">
    <w:name w:val="Заголовок 6 Знак"/>
    <w:basedOn w:val="11"/>
    <w:link w:val="7"/>
    <w:uiPriority w:val="99"/>
    <w:rPr>
      <w:rFonts w:ascii="Arial" w:hAnsi="Arial" w:eastAsia="Times New Roman" w:cs="Times New Roman"/>
      <w:i/>
      <w:sz w:val="22"/>
      <w:szCs w:val="20"/>
      <w:lang w:eastAsia="ru-RU"/>
    </w:rPr>
  </w:style>
  <w:style w:type="character" w:customStyle="1" w:styleId="46">
    <w:name w:val="Заголовок 7 Знак"/>
    <w:basedOn w:val="11"/>
    <w:link w:val="8"/>
    <w:uiPriority w:val="99"/>
    <w:rPr>
      <w:rFonts w:ascii="Arial" w:hAnsi="Arial" w:eastAsia="Times New Roman" w:cs="Times New Roman"/>
      <w:sz w:val="20"/>
      <w:szCs w:val="20"/>
      <w:lang w:eastAsia="ru-RU"/>
    </w:rPr>
  </w:style>
  <w:style w:type="character" w:customStyle="1" w:styleId="47">
    <w:name w:val="Заголовок 8 Знак"/>
    <w:basedOn w:val="11"/>
    <w:link w:val="9"/>
    <w:uiPriority w:val="99"/>
    <w:rPr>
      <w:rFonts w:ascii="Arial" w:hAnsi="Arial" w:eastAsia="Times New Roman" w:cs="Times New Roman"/>
      <w:i/>
      <w:sz w:val="20"/>
      <w:szCs w:val="20"/>
      <w:lang w:eastAsia="ru-RU"/>
    </w:rPr>
  </w:style>
  <w:style w:type="character" w:customStyle="1" w:styleId="48">
    <w:name w:val="Заголовок 9 Знак"/>
    <w:basedOn w:val="11"/>
    <w:link w:val="10"/>
    <w:uiPriority w:val="99"/>
    <w:rPr>
      <w:rFonts w:ascii="Arial" w:hAnsi="Arial" w:eastAsia="Times New Roman" w:cs="Times New Roman"/>
      <w:i/>
      <w:sz w:val="18"/>
      <w:szCs w:val="20"/>
      <w:lang w:eastAsia="ru-RU"/>
    </w:rPr>
  </w:style>
  <w:style w:type="character" w:customStyle="1" w:styleId="49">
    <w:name w:val="Заголовок 2 Знак1"/>
    <w:basedOn w:val="11"/>
    <w:link w:val="3"/>
    <w:locked/>
    <w:uiPriority w:val="99"/>
    <w:rPr>
      <w:rFonts w:ascii="Times New Roman" w:hAnsi="Times New Roman" w:eastAsia="Times New Roman" w:cs="Times New Roman"/>
      <w:sz w:val="26"/>
      <w:szCs w:val="20"/>
      <w:lang w:eastAsia="ru-RU"/>
    </w:rPr>
  </w:style>
  <w:style w:type="character" w:customStyle="1" w:styleId="50">
    <w:name w:val="Текст примечания Знак"/>
    <w:basedOn w:val="11"/>
    <w:link w:val="18"/>
    <w:semiHidden/>
    <w:uiPriority w:val="99"/>
    <w:rPr>
      <w:rFonts w:asciiTheme="majorHAnsi" w:hAnsiTheme="majorHAnsi" w:eastAsiaTheme="majorEastAsia" w:cstheme="majorBidi"/>
      <w:sz w:val="20"/>
      <w:szCs w:val="20"/>
      <w:lang w:val="en-US" w:bidi="en-US"/>
    </w:rPr>
  </w:style>
  <w:style w:type="character" w:customStyle="1" w:styleId="51">
    <w:name w:val="Тема примечания Знак"/>
    <w:basedOn w:val="50"/>
    <w:link w:val="19"/>
    <w:semiHidden/>
    <w:uiPriority w:val="99"/>
    <w:rPr>
      <w:rFonts w:asciiTheme="majorHAnsi" w:hAnsiTheme="majorHAnsi" w:eastAsiaTheme="majorEastAsia" w:cstheme="majorBidi"/>
      <w:b/>
      <w:bCs/>
      <w:sz w:val="20"/>
      <w:szCs w:val="20"/>
      <w:lang w:val="en-US" w:bidi="en-US"/>
    </w:rPr>
  </w:style>
  <w:style w:type="paragraph" w:customStyle="1" w:styleId="52">
    <w:name w:val="Revision"/>
    <w:hidden/>
    <w:semiHidden/>
    <w:uiPriority w:val="99"/>
    <w:rPr>
      <w:rFonts w:asciiTheme="majorHAnsi" w:hAnsiTheme="majorHAnsi" w:eastAsiaTheme="majorEastAsia" w:cstheme="majorBidi"/>
      <w:sz w:val="22"/>
      <w:szCs w:val="22"/>
      <w:lang w:val="en-US" w:eastAsia="en-US" w:bidi="en-US"/>
    </w:rPr>
  </w:style>
  <w:style w:type="character" w:customStyle="1" w:styleId="53">
    <w:name w:val="Основной текст 3 Знак"/>
    <w:basedOn w:val="11"/>
    <w:link w:val="26"/>
    <w:uiPriority w:val="99"/>
    <w:rPr>
      <w:rFonts w:asciiTheme="majorHAnsi" w:hAnsiTheme="majorHAnsi" w:eastAsiaTheme="majorEastAsia" w:cstheme="majorBidi"/>
      <w:sz w:val="16"/>
      <w:szCs w:val="16"/>
      <w:lang w:val="en-US" w:bidi="en-US"/>
    </w:rPr>
  </w:style>
  <w:style w:type="paragraph" w:customStyle="1" w:styleId="54">
    <w:name w:val="1ур"/>
    <w:basedOn w:val="2"/>
    <w:link w:val="55"/>
    <w:qFormat/>
    <w:uiPriority w:val="0"/>
    <w:pPr>
      <w:numPr>
        <w:ilvl w:val="0"/>
        <w:numId w:val="5"/>
      </w:numPr>
      <w:shd w:val="clear" w:color="auto" w:fill="CCCCCC"/>
      <w:tabs>
        <w:tab w:val="clear" w:pos="708"/>
      </w:tabs>
      <w:spacing w:before="400" w:after="360" w:line="240" w:lineRule="auto"/>
    </w:pPr>
    <w:rPr>
      <w:rFonts w:ascii="Tahoma" w:hAnsi="Tahoma" w:eastAsia="MS Mincho" w:cs="Tahoma"/>
      <w:bCs/>
      <w:caps/>
      <w:kern w:val="18"/>
      <w:sz w:val="18"/>
      <w:szCs w:val="32"/>
      <w:lang w:eastAsia="ar-SA"/>
    </w:rPr>
  </w:style>
  <w:style w:type="character" w:customStyle="1" w:styleId="55">
    <w:name w:val="1ур Знак"/>
    <w:link w:val="54"/>
    <w:uiPriority w:val="0"/>
    <w:rPr>
      <w:rFonts w:ascii="Tahoma" w:hAnsi="Tahoma" w:eastAsia="MS Mincho" w:cs="Tahoma"/>
      <w:b/>
      <w:bCs/>
      <w:caps/>
      <w:kern w:val="18"/>
      <w:sz w:val="18"/>
      <w:szCs w:val="32"/>
      <w:shd w:val="clear" w:color="auto" w:fill="CCCCCC"/>
      <w:lang w:eastAsia="ar-SA"/>
    </w:rPr>
  </w:style>
  <w:style w:type="paragraph" w:customStyle="1" w:styleId="56">
    <w:name w:val="Основной"/>
    <w:basedOn w:val="1"/>
    <w:uiPriority w:val="0"/>
    <w:pPr>
      <w:suppressAutoHyphens/>
      <w:spacing w:before="204" w:beforeLines="85" w:after="204" w:afterLines="85"/>
      <w:jc w:val="both"/>
    </w:pPr>
    <w:rPr>
      <w:rFonts w:ascii="Tahoma" w:hAnsi="Tahoma" w:eastAsia="MS Mincho" w:cs="Tahoma"/>
      <w:sz w:val="18"/>
      <w:szCs w:val="18"/>
      <w:lang w:eastAsia="ar-SA"/>
    </w:rPr>
  </w:style>
  <w:style w:type="paragraph" w:customStyle="1" w:styleId="57">
    <w:name w:val="3ур"/>
    <w:basedOn w:val="35"/>
    <w:link w:val="60"/>
    <w:qFormat/>
    <w:uiPriority w:val="0"/>
    <w:pPr>
      <w:numPr>
        <w:ilvl w:val="2"/>
      </w:numPr>
    </w:pPr>
  </w:style>
  <w:style w:type="character" w:customStyle="1" w:styleId="58">
    <w:name w:val="Абзац списка Знак"/>
    <w:basedOn w:val="11"/>
    <w:link w:val="31"/>
    <w:uiPriority w:val="34"/>
    <w:rPr>
      <w:rFonts w:ascii="Times New Roman" w:hAnsi="Times New Roman" w:cs="Times New Roman"/>
      <w:lang w:eastAsia="ru-RU"/>
    </w:rPr>
  </w:style>
  <w:style w:type="character" w:customStyle="1" w:styleId="59">
    <w:name w:val="2ур Знак"/>
    <w:basedOn w:val="58"/>
    <w:link w:val="35"/>
    <w:uiPriority w:val="0"/>
    <w:rPr>
      <w:rFonts w:ascii="Tahoma" w:hAnsi="Tahoma" w:cs="Tahoma"/>
      <w:sz w:val="18"/>
      <w:szCs w:val="20"/>
      <w:lang w:eastAsia="ru-RU"/>
    </w:rPr>
  </w:style>
  <w:style w:type="character" w:customStyle="1" w:styleId="60">
    <w:name w:val="3ур Знак"/>
    <w:basedOn w:val="59"/>
    <w:link w:val="57"/>
    <w:uiPriority w:val="0"/>
    <w:rPr>
      <w:rFonts w:ascii="Tahoma" w:hAnsi="Tahoma" w:cs="Tahoma"/>
      <w:sz w:val="18"/>
      <w:szCs w:val="20"/>
      <w:lang w:eastAsia="ru-RU"/>
    </w:rPr>
  </w:style>
  <w:style w:type="paragraph" w:customStyle="1" w:styleId="61">
    <w:name w:val="Осн"/>
    <w:basedOn w:val="56"/>
    <w:qFormat/>
    <w:uiPriority w:val="0"/>
    <w:rPr>
      <w:color w:val="000000" w:themeColor="text1"/>
      <w14:textFill>
        <w14:solidFill>
          <w14:schemeClr w14:val="tx1"/>
        </w14:solidFill>
      </w14:textFill>
    </w:rPr>
  </w:style>
  <w:style w:type="character" w:customStyle="1" w:styleId="62">
    <w:name w:val="Нижний колонтитул Знак"/>
    <w:basedOn w:val="11"/>
    <w:link w:val="23"/>
    <w:uiPriority w:val="99"/>
    <w:rPr>
      <w:rFonts w:ascii="Times New Roman" w:hAnsi="Times New Roman" w:cs="Times New Roman"/>
      <w:lang w:eastAsia="ru-RU"/>
    </w:rPr>
  </w:style>
  <w:style w:type="character" w:customStyle="1" w:styleId="63">
    <w:name w:val="Верхний колонтитул Знак"/>
    <w:basedOn w:val="11"/>
    <w:link w:val="20"/>
    <w:uiPriority w:val="99"/>
    <w:rPr>
      <w:rFonts w:ascii="Times New Roman" w:hAnsi="Times New Roman" w:cs="Times New Roman"/>
      <w:lang w:eastAsia="ru-RU"/>
    </w:rPr>
  </w:style>
  <w:style w:type="character" w:customStyle="1" w:styleId="64">
    <w:name w:val="Заголовок Знак"/>
    <w:basedOn w:val="11"/>
    <w:link w:val="22"/>
    <w:uiPriority w:val="10"/>
    <w:rPr>
      <w:rFonts w:ascii="Helvetica" w:hAnsi="Helvetica" w:eastAsiaTheme="minorHAnsi"/>
      <w:sz w:val="18"/>
      <w:szCs w:val="18"/>
    </w:rPr>
  </w:style>
  <w:style w:type="character" w:customStyle="1" w:styleId="65">
    <w:name w:val="apple-tab-span"/>
    <w:basedOn w:val="11"/>
    <w:uiPriority w:val="0"/>
  </w:style>
  <w:style w:type="character" w:customStyle="1" w:styleId="66">
    <w:name w:val="Основной текст Знак"/>
    <w:basedOn w:val="11"/>
    <w:link w:val="21"/>
    <w:uiPriority w:val="99"/>
    <w:rPr>
      <w:rFonts w:ascii="Times New Roman" w:hAnsi="Times New Roman" w:cs="Times New Roman"/>
      <w:lang w:eastAsia="ru-RU"/>
    </w:rPr>
  </w:style>
  <w:style w:type="character" w:customStyle="1" w:styleId="67">
    <w:name w:val="Неразрешенное упоминание1"/>
    <w:basedOn w:val="11"/>
    <w:semiHidden/>
    <w:unhideWhenUsed/>
    <w:uiPriority w:val="99"/>
    <w:rPr>
      <w:color w:val="605E5C"/>
      <w:shd w:val="clear" w:color="auto" w:fill="E1DFDD"/>
    </w:rPr>
  </w:style>
  <w:style w:type="paragraph" w:customStyle="1" w:styleId="68">
    <w:name w:val="Table Paragraph"/>
    <w:basedOn w:val="1"/>
    <w:qFormat/>
    <w:uiPriority w:val="1"/>
    <w:pPr>
      <w:widowControl w:val="0"/>
      <w:autoSpaceDE w:val="0"/>
      <w:autoSpaceDN w:val="0"/>
      <w:spacing w:line="260" w:lineRule="exact"/>
      <w:ind w:left="107" w:right="111"/>
      <w:jc w:val="center"/>
    </w:pPr>
    <w:rPr>
      <w:rFonts w:ascii="Calibri" w:hAnsi="Calibri" w:eastAsia="Calibri" w:cs="Calibri"/>
      <w:sz w:val="22"/>
      <w:szCs w:val="22"/>
      <w:lang w:bidi="ru-RU"/>
    </w:rPr>
  </w:style>
  <w:style w:type="character" w:customStyle="1" w:styleId="69">
    <w:name w:val="Unresolved Mention1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70">
    <w:name w:val="Неразрешенное упоминание2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71">
    <w:name w:val="Неразрешенное упоминание3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72">
    <w:name w:val="controls-icon_style-unaccented"/>
    <w:basedOn w:val="11"/>
    <w:qFormat/>
    <w:uiPriority w:val="0"/>
  </w:style>
  <w:style w:type="table" w:customStyle="1" w:styleId="73">
    <w:name w:val="Grid Table Light"/>
    <w:basedOn w:val="12"/>
    <w:qFormat/>
    <w:uiPriority w:val="40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character" w:customStyle="1" w:styleId="74">
    <w:name w:val="Font Style12"/>
    <w:qFormat/>
    <w:uiPriority w:val="0"/>
    <w:rPr>
      <w:rFonts w:ascii="Times New Roman" w:hAnsi="Times New Roman" w:cs="Times New Roman"/>
      <w:sz w:val="26"/>
      <w:szCs w:val="26"/>
    </w:rPr>
  </w:style>
  <w:style w:type="paragraph" w:customStyle="1" w:styleId="75">
    <w:name w:val="ds-markdown-paragraph"/>
    <w:basedOn w:val="1"/>
    <w:uiPriority w:val="0"/>
    <w:pPr>
      <w:spacing w:before="100" w:beforeAutospacing="1" w:after="100" w:afterAutospacing="1"/>
    </w:pPr>
    <w:rPr>
      <w:rFonts w:eastAsia="Times New Roma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numbering" Target="numbering.xml"/><Relationship Id="rId12" Type="http://schemas.openxmlformats.org/officeDocument/2006/relationships/theme" Target="theme/theme1.xml"/><Relationship Id="rId11" Type="http://schemas.openxmlformats.org/officeDocument/2006/relationships/footer" Target="footer4.xml"/><Relationship Id="rId10" Type="http://schemas.openxmlformats.org/officeDocument/2006/relationships/header" Target="header5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5B5D818-6E1B-4F3D-A62D-21759C80BB3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asm_alpha@rambler.ru</Company>
  <Pages>10</Pages>
  <Words>4582</Words>
  <Characters>32969</Characters>
  <Lines>275</Lines>
  <Paragraphs>77</Paragraphs>
  <TotalTime>0</TotalTime>
  <ScaleCrop>false</ScaleCrop>
  <LinksUpToDate>false</LinksUpToDate>
  <CharactersWithSpaces>37357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2026-03-24T13:22:00Z</dcterms:created>
  <dc:creator>Семипятный Владислав</dc:creator>
  <cp:lastModifiedBy>WPS_1774018690</cp:lastModifiedBy>
  <cp:lastPrinted>2023-02-22T14:34:00Z</cp:lastPrinted>
  <dcterms:modified xsi:type="dcterms:W3CDTF">2026-06-02T08:24:04Z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PMonlineTemplateId">
    <vt:lpwstr>089a5b1c-d594-132e-7006-d6a825872676</vt:lpwstr>
  </property>
  <property fmtid="{D5CDD505-2E9C-101B-9397-08002B2CF9AE}" pid="3" name="KSOTemplateDocerSaveRecord">
    <vt:lpwstr>eyJoZGlkIjoiNTM1ZGMyNmQwZjY5ZGMxNjllMWY5ZDg0OGJiMjRkMzQiLCJ1c2VySWQiOiIzMDIzNjU3ODIwODM0In0=</vt:lpwstr>
  </property>
  <property fmtid="{D5CDD505-2E9C-101B-9397-08002B2CF9AE}" pid="4" name="KSOProductBuildVer">
    <vt:lpwstr>1049-12.1.0.26880</vt:lpwstr>
  </property>
  <property fmtid="{D5CDD505-2E9C-101B-9397-08002B2CF9AE}" pid="5" name="ICV">
    <vt:lpwstr>5478224795D74E438213801AFC834E6F_12</vt:lpwstr>
  </property>
</Properties>
</file>