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EVOLUTION AI 项目商业模式设计方案</w:t>
      </w:r>
    </w:p>
    <w:p>
      <w:pPr>
        <w:pStyle w:val="3"/>
        <w:jc w:val="left"/>
      </w:pPr>
      <w:r>
        <w:rPr/>
        <w:t>EVOLUTION AI 项目商业模式设计方案</w:t>
      </w:r>
    </w:p>
    <w:p>
      <w:pPr>
        <w:pStyle w:val="4"/>
        <w:jc w:val="left"/>
      </w:pPr>
      <w:r>
        <w:rPr/>
        <w:t>一、市场总览与战略机遇</w:t>
      </w:r>
    </w:p>
    <w:p>
      <w:pPr>
        <w:pStyle w:val="5"/>
        <w:jc w:val="left"/>
      </w:pPr>
      <w:r>
        <w:rPr/>
        <w:t>1.1 市场规模与增长潜力</w:t>
      </w:r>
    </w:p>
    <w:p>
      <w:pPr>
        <w:jc w:val="left"/>
      </w:pPr>
      <w:r>
        <w:rPr/>
        <w:t>EVOLUTION AI所处的市场横跨三个高速增长的赛道：</w:t>
      </w:r>
    </w:p>
    <w:p>
      <w:pPr>
        <w:jc w:val="left"/>
      </w:pPr>
      <w:r>
        <w:rPr>
          <w:b/>
          <w:bCs/>
        </w:rPr>
        <w:t>汽车外观设计软件市场</w:t>
      </w:r>
      <w:r>
        <w:rPr/>
        <w:t>：2024年全球市场规模约62.3亿元人民币，预计2031年将达108.3亿元，年复合增长率（CAGR）为8.3%。另据预测，2025年该市场规模已达9.31亿美元，预计2031年将达15.44亿美元。</w:t>
      </w:r>
    </w:p>
    <w:p>
      <w:pPr>
        <w:jc w:val="left"/>
      </w:pPr>
      <w:r>
        <w:rPr>
          <w:b/>
          <w:bCs/>
        </w:rPr>
        <w:t>生成式设计软件市场</w:t>
      </w:r>
      <w:r>
        <w:rPr/>
        <w:t>：增长更为迅猛。2025年市场规模约26.6亿美元，2026年预计达31.6亿美元，CAGR为18.5%。到2031年，该市场预计将达95.7亿美元，CAGR为14.25%。</w:t>
      </w:r>
    </w:p>
    <w:p>
      <w:pPr>
        <w:jc w:val="left"/>
      </w:pPr>
      <w:r>
        <w:rPr>
          <w:b/>
          <w:bCs/>
        </w:rPr>
        <w:t>3D CAD软件市场</w:t>
      </w:r>
      <w:r>
        <w:rPr/>
        <w:t>：2025年市场规模约111.8亿美元，2026年预计达120.3亿美元，CAGR为7.7%。</w:t>
      </w:r>
    </w:p>
    <w:p>
      <w:pPr>
        <w:jc w:val="left"/>
      </w:pPr>
      <w:r>
        <w:rPr/>
        <w:t>这意味着EVOLUTION AI切入的是一个</w:t>
      </w:r>
      <w:r>
        <w:rPr>
          <w:b/>
          <w:bCs/>
        </w:rPr>
        <w:t>百亿美元级且高速增长</w:t>
      </w:r>
      <w:r>
        <w:rPr/>
        <w:t>的市场，且生成式设计（18.5%+ CAGR）是其中增长最快的细分领域。</w:t>
      </w:r>
    </w:p>
    <w:p>
      <w:pPr>
        <w:pStyle w:val="5"/>
        <w:jc w:val="left"/>
      </w:pPr>
      <w:r>
        <w:rPr/>
        <w:t>1.2 行业痛点创造的商业化机会</w:t>
      </w:r>
    </w:p>
    <w:p>
      <w:pPr>
        <w:jc w:val="left"/>
      </w:pPr>
      <w:r>
        <w:rPr/>
        <w:t>当前汽车造型设计行业的痛点直接转化为EVOLUTION AI的商业化切入点：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行业痛点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商业价值量化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EVOLUTION AI的变现机会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设计周期18-24个月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每缩短1个月节省数百万美元研发成本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按项目/按节省时间收费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每项目仅3-5个概念方向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探索不足导致错失最优设计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按生成概念数量/变体收费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每次油泥模型修改$50K+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高频迭代产生巨大沉没成本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按减少的物理迭代次数收费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工具链割裂、协作低效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数据转换损失大量工时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按平台集成/协作席位收费</w:t>
            </w:r>
          </w:p>
        </w:tc>
      </w:tr>
    </w:tbl>
    <w:p>
      <w:pPr>
        <w:pStyle w:val="5"/>
        <w:jc w:val="left"/>
      </w:pPr>
      <w:r>
        <w:rPr/>
        <w:t>1.3 竞争格局与差异化定位</w:t>
      </w:r>
    </w:p>
    <w:p>
      <w:pPr>
        <w:jc w:val="left"/>
      </w:pPr>
      <w:r>
        <w:rPr>
          <w:b/>
          <w:bCs/>
        </w:rPr>
        <w:t>传统巨头（CATIA、Alias、ICEM）</w:t>
      </w:r>
      <w:r>
        <w:rPr/>
        <w:t xml:space="preserve"> ：行业标准，但价格高昂、学习曲线陡峭，且AI能力有限。CATIA在A级曲面设计领域“无出其右”，但其商业模式正在转型——达索系统正从按用户数收费转向按AI创造的性能和价值收费，推出“知识单元+专业单元+工作单元”的三维定价体系。</w:t>
      </w:r>
    </w:p>
    <w:p>
      <w:pPr>
        <w:jc w:val="left"/>
      </w:pPr>
      <w:r>
        <w:rPr>
          <w:b/>
          <w:bCs/>
        </w:rPr>
        <w:t>AI设计工具新进入者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阿尔特“太乙（TAI）”</w:t>
      </w:r>
      <w:r>
        <w:rPr/>
        <w:t xml:space="preserve"> ：文生图、图生图AI创绘工具，已进入商业化推广阶段。依托数百万张设计图纸训练，聚焦效果图生成。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Depix</w:t>
      </w:r>
      <w:r>
        <w:rPr/>
        <w:t>：生成式AI平台，专注汽车与产品可视化，弥合2D草图、3D模型与实体原型之间的鸿沟。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Carzen、AutoMod AI</w:t>
      </w:r>
      <w:r>
        <w:rPr/>
        <w:t>：移动端AI汽车设计App，采用免费+App内购买模式。</w:t>
      </w:r>
    </w:p>
    <w:p>
      <w:pPr>
        <w:jc w:val="left"/>
      </w:pPr>
      <w:r>
        <w:rPr>
          <w:b/>
          <w:bCs/>
        </w:rPr>
        <w:t>EVOLUTION AI的差异化定位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不做“2D效果图生成器”（阿尔特、Depix的领域）</w:t>
      </w:r>
    </w:p>
    <w:p>
      <w:pPr>
        <w:numPr>
          <w:ilvl w:val="0"/>
          <w:numId w:val="2"/>
        </w:numPr>
        <w:jc w:val="left"/>
      </w:pPr>
      <w:r>
        <w:rPr/>
        <w:t>做“3D参数化A级曲面全流程平台”——从参数到曲面到质量评估到数据交付</w:t>
      </w:r>
    </w:p>
    <w:p>
      <w:pPr>
        <w:numPr>
          <w:ilvl w:val="0"/>
          <w:numId w:val="2"/>
        </w:numPr>
        <w:jc w:val="left"/>
      </w:pPr>
      <w:r>
        <w:rPr/>
        <w:t>不做“AI主角”，做“AI副驾”——辅助而非替代设计师</w:t>
      </w:r>
    </w:p>
    <w:p>
      <w:pPr>
        <w:numPr>
          <w:ilvl w:val="0"/>
          <w:numId w:val="2"/>
        </w:numPr>
        <w:jc w:val="left"/>
      </w:pPr>
      <w:r>
        <w:rPr/>
        <w:t>从“概念草图”到“工程可用数据”的端到端闭环</w:t>
      </w:r>
    </w:p>
    <w:p>
      <w:pPr>
        <w:jc w:val="left"/>
      </w:pPr>
      <w:r>
        <w:rPr/>
        <w:t>这一差异化定位使EVOLUTION AI能够</w:t>
      </w:r>
      <w:r>
        <w:rPr>
          <w:b/>
          <w:bCs/>
        </w:rPr>
        <w:t>错位竞争</w:t>
      </w:r>
      <w:r>
        <w:rPr/>
        <w:t>，避开与阿尔特在2D生成领域的正面交锋，聚焦于技术壁垒更高、客户付费意愿更强的3D工程化场景。</w:t>
      </w:r>
    </w:p>
    <w:p>
      <w:pPr>
        <w:pStyle w:val="4"/>
        <w:jc w:val="left"/>
      </w:pPr>
      <w:r>
        <w:rPr/>
        <w:t>二、价值主张与客户细分</w:t>
      </w:r>
    </w:p>
    <w:p>
      <w:pPr>
        <w:pStyle w:val="5"/>
        <w:jc w:val="left"/>
      </w:pPr>
      <w:r>
        <w:rPr/>
        <w:t>2.1 核心价值主张</w:t>
      </w:r>
    </w:p>
    <w:p>
      <w:pPr>
        <w:jc w:val="left"/>
      </w:pPr>
      <w:r>
        <w:rPr/>
        <w:t xml:space="preserve">EVOLUTION AI的价值主张可概括为 </w:t>
      </w:r>
      <w:r>
        <w:rPr>
          <w:b/>
          <w:bCs/>
        </w:rPr>
        <w:t>“三个减半、一个倍增”</w:t>
      </w:r>
      <w:r>
        <w:rPr/>
        <w:t xml:space="preserve"> 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价值维度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具体承诺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量化目标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周期减半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概念到A级曲面冻结时间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从3-4周压缩至1-2周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成本减半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减少物理油泥模型迭代次数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油泥模型修改从10+次降至3-5次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返工减半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工程阶段发现的设计缺陷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减少80%的后期工程变更请求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探索倍增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可探索的设计方案数量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从3-5个方向扩展至30-50个</w:t>
            </w:r>
          </w:p>
        </w:tc>
      </w:tr>
    </w:tbl>
    <w:p>
      <w:pPr>
        <w:pStyle w:val="5"/>
        <w:jc w:val="left"/>
      </w:pPr>
      <w:r>
        <w:rPr/>
        <w:t>2.2 客户细分与付费意愿</w:t>
      </w:r>
    </w:p>
    <w:p>
      <w:pPr>
        <w:jc w:val="left"/>
      </w:pPr>
      <w:r>
        <w:rPr/>
        <w:t>基于PRD中定义的四类核心用户，按组织类型细分：</w:t>
      </w:r>
    </w:p>
    <w:p>
      <w:pPr>
        <w:jc w:val="left"/>
      </w:pPr>
      <w:r>
        <w:rPr>
          <w:b/>
          <w:bCs/>
        </w:rPr>
        <w:t>Tier 1：大型OEM整车厂（最高付费意愿）</w:t>
      </w:r>
    </w:p>
    <w:p>
      <w:pPr>
        <w:numPr>
          <w:ilvl w:val="0"/>
          <w:numId w:val="2"/>
        </w:numPr>
        <w:jc w:val="left"/>
      </w:pPr>
      <w:r>
        <w:rPr/>
        <w:t>代表客户：宝马、奔驰、大众、丰田、吉利、比亚迪等</w:t>
      </w:r>
    </w:p>
    <w:p>
      <w:pPr>
        <w:numPr>
          <w:ilvl w:val="0"/>
          <w:numId w:val="2"/>
        </w:numPr>
        <w:jc w:val="left"/>
      </w:pPr>
      <w:r>
        <w:rPr/>
        <w:t>痛点：开发周期长、A级曲面质量不稳定、跨团队协作低效</w:t>
      </w:r>
    </w:p>
    <w:p>
      <w:pPr>
        <w:numPr>
          <w:ilvl w:val="0"/>
          <w:numId w:val="2"/>
        </w:numPr>
        <w:jc w:val="left"/>
      </w:pPr>
      <w:r>
        <w:rPr/>
        <w:t>付费能力：年软件预算数百万至数千万美元</w:t>
      </w:r>
    </w:p>
    <w:p>
      <w:pPr>
        <w:numPr>
          <w:ilvl w:val="0"/>
          <w:numId w:val="2"/>
        </w:numPr>
        <w:jc w:val="left"/>
      </w:pPr>
      <w:r>
        <w:rPr/>
        <w:t>决策周期：6-18个月（需经过采购、IT安全、工程验证等流程）</w:t>
      </w:r>
    </w:p>
    <w:p>
      <w:pPr>
        <w:numPr>
          <w:ilvl w:val="0"/>
          <w:numId w:val="2"/>
        </w:numPr>
        <w:jc w:val="left"/>
      </w:pPr>
      <w:r>
        <w:rPr/>
        <w:t>采购关键人：造型总监、CAS部门负责人、数字化负责人</w:t>
      </w:r>
    </w:p>
    <w:p>
      <w:pPr>
        <w:numPr>
          <w:ilvl w:val="0"/>
          <w:numId w:val="2"/>
        </w:numPr>
        <w:jc w:val="left"/>
      </w:pPr>
      <w:r>
        <w:rPr/>
        <w:t>获客渠道：行业展会（如上海车展、北美车展）、技术研讨会、标杆客户案例</w:t>
      </w:r>
    </w:p>
    <w:p>
      <w:pPr>
        <w:jc w:val="left"/>
      </w:pPr>
      <w:r>
        <w:rPr>
          <w:b/>
          <w:bCs/>
        </w:rPr>
        <w:t>Tier 2：Tier-1供应商（中等付费意愿）</w:t>
      </w:r>
    </w:p>
    <w:p>
      <w:pPr>
        <w:numPr>
          <w:ilvl w:val="0"/>
          <w:numId w:val="2"/>
        </w:numPr>
        <w:jc w:val="left"/>
      </w:pPr>
      <w:r>
        <w:rPr/>
        <w:t>代表客户：麦格纳、博世、宁德时代、华域汽车等</w:t>
      </w:r>
    </w:p>
    <w:p>
      <w:pPr>
        <w:numPr>
          <w:ilvl w:val="0"/>
          <w:numId w:val="2"/>
        </w:numPr>
        <w:jc w:val="left"/>
      </w:pPr>
      <w:r>
        <w:rPr/>
        <w:t>痛点：快速响应OEM需求、降低 prototyping 成本</w:t>
      </w:r>
    </w:p>
    <w:p>
      <w:pPr>
        <w:numPr>
          <w:ilvl w:val="0"/>
          <w:numId w:val="2"/>
        </w:numPr>
        <w:jc w:val="left"/>
      </w:pPr>
      <w:r>
        <w:rPr/>
        <w:t>付费能力：年软件预算数十万至数百万美元</w:t>
      </w:r>
    </w:p>
    <w:p>
      <w:pPr>
        <w:numPr>
          <w:ilvl w:val="0"/>
          <w:numId w:val="2"/>
        </w:numPr>
        <w:jc w:val="left"/>
      </w:pPr>
      <w:r>
        <w:rPr/>
        <w:t>决策周期：3-9个月</w:t>
      </w:r>
    </w:p>
    <w:p>
      <w:pPr>
        <w:numPr>
          <w:ilvl w:val="0"/>
          <w:numId w:val="2"/>
        </w:numPr>
        <w:jc w:val="left"/>
      </w:pPr>
      <w:r>
        <w:rPr/>
        <w:t>采购关键人：设计部门负责人、工程经理</w:t>
      </w:r>
    </w:p>
    <w:p>
      <w:pPr>
        <w:numPr>
          <w:ilvl w:val="0"/>
          <w:numId w:val="2"/>
        </w:numPr>
        <w:jc w:val="left"/>
      </w:pPr>
      <w:r>
        <w:rPr/>
        <w:t>获客渠道：供应商大会、行业媒体、OEM推荐</w:t>
      </w:r>
    </w:p>
    <w:p>
      <w:pPr>
        <w:jc w:val="left"/>
      </w:pPr>
      <w:r>
        <w:rPr>
          <w:b/>
          <w:bCs/>
        </w:rPr>
        <w:t>Tier 3：设计咨询机构（中等付费意愿，决策快）</w:t>
      </w:r>
    </w:p>
    <w:p>
      <w:pPr>
        <w:numPr>
          <w:ilvl w:val="0"/>
          <w:numId w:val="2"/>
        </w:numPr>
        <w:jc w:val="left"/>
      </w:pPr>
      <w:r>
        <w:rPr/>
        <w:t>代表客户：Pininfarina、Bertone、I.DE.A、阿尔特等</w:t>
      </w:r>
    </w:p>
    <w:p>
      <w:pPr>
        <w:numPr>
          <w:ilvl w:val="0"/>
          <w:numId w:val="2"/>
        </w:numPr>
        <w:jc w:val="left"/>
      </w:pPr>
      <w:r>
        <w:rPr/>
        <w:t>痛点：赢得更多竞标、加速交付、提升视觉提案质量</w:t>
      </w:r>
    </w:p>
    <w:p>
      <w:pPr>
        <w:numPr>
          <w:ilvl w:val="0"/>
          <w:numId w:val="2"/>
        </w:numPr>
        <w:jc w:val="left"/>
      </w:pPr>
      <w:r>
        <w:rPr/>
        <w:t>付费能力：年软件预算数万至数十万美元</w:t>
      </w:r>
    </w:p>
    <w:p>
      <w:pPr>
        <w:numPr>
          <w:ilvl w:val="0"/>
          <w:numId w:val="2"/>
        </w:numPr>
        <w:jc w:val="left"/>
      </w:pPr>
      <w:r>
        <w:rPr/>
        <w:t>决策周期：1-3个月</w:t>
      </w:r>
    </w:p>
    <w:p>
      <w:pPr>
        <w:numPr>
          <w:ilvl w:val="0"/>
          <w:numId w:val="2"/>
        </w:numPr>
        <w:jc w:val="left"/>
      </w:pPr>
      <w:r>
        <w:rPr/>
        <w:t>采购关键人：设计总监、创意合伙人</w:t>
      </w:r>
    </w:p>
    <w:p>
      <w:pPr>
        <w:numPr>
          <w:ilvl w:val="0"/>
          <w:numId w:val="2"/>
        </w:numPr>
        <w:jc w:val="left"/>
      </w:pPr>
      <w:r>
        <w:rPr/>
        <w:t>获客渠道：设计媒体、设计奖项、口碑传播</w:t>
      </w:r>
    </w:p>
    <w:p>
      <w:pPr>
        <w:jc w:val="left"/>
      </w:pPr>
      <w:r>
        <w:rPr>
          <w:b/>
          <w:bCs/>
        </w:rPr>
        <w:t>Tier 4：高校与研究机构（低付费意愿，但具战略价值）</w:t>
      </w:r>
    </w:p>
    <w:p>
      <w:pPr>
        <w:numPr>
          <w:ilvl w:val="0"/>
          <w:numId w:val="2"/>
        </w:numPr>
        <w:jc w:val="left"/>
      </w:pPr>
      <w:r>
        <w:rPr/>
        <w:t>价值：培养下一代设计师的使用习惯、学术背书、开源生态</w:t>
      </w:r>
    </w:p>
    <w:p>
      <w:pPr>
        <w:numPr>
          <w:ilvl w:val="0"/>
          <w:numId w:val="2"/>
        </w:numPr>
        <w:jc w:val="left"/>
      </w:pPr>
      <w:r>
        <w:rPr/>
        <w:t>策略：提供教育优惠版或免费学术授权</w:t>
      </w:r>
    </w:p>
    <w:p>
      <w:pPr>
        <w:pStyle w:val="4"/>
        <w:jc w:val="left"/>
      </w:pPr>
      <w:r>
        <w:rPr/>
        <w:t>三、收入模式设计</w:t>
      </w:r>
    </w:p>
    <w:p>
      <w:pPr>
        <w:jc w:val="left"/>
      </w:pPr>
      <w:r>
        <w:rPr/>
        <w:t xml:space="preserve">EVOLUTION AI采用 </w:t>
      </w:r>
      <w:r>
        <w:rPr>
          <w:b/>
          <w:bCs/>
        </w:rPr>
        <w:t>“基础订阅 + 用量付费 + 价值分成”</w:t>
      </w:r>
      <w:r>
        <w:rPr/>
        <w:t xml:space="preserve"> 的三层混合收入模型，兼顾现金流的稳定性与价值捕获的最大化。</w:t>
      </w:r>
    </w:p>
    <w:p>
      <w:pPr>
        <w:pStyle w:val="5"/>
        <w:jc w:val="left"/>
      </w:pPr>
      <w:r>
        <w:rPr/>
        <w:t>3.1 第一层：SaaS订阅收入（稳定基石）</w:t>
      </w:r>
    </w:p>
    <w:p>
      <w:pPr>
        <w:jc w:val="left"/>
      </w:pPr>
      <w:r>
        <w:rPr/>
        <w:t>参照行业实践，设序科技的AI+CAD SaaS软件按月度收取订阅服务费。EVOLUTION AI采用分层订阅制：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订阅层级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目标用户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核心功能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年费（预估）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Starter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个人设计师/小型工作室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21参数建模、WebGL实时预览、基础渲染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$2,400-4,800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Professional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设计咨询机构/CAS团队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+AI优化引擎、质量评估器、多格式导出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$12,000-24,000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Enterprise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OEM整车厂/Tier-1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+团队协作、版本管理、私有化部署、API集成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$60,000-240,000</w:t>
            </w:r>
          </w:p>
        </w:tc>
      </w:tr>
    </w:tbl>
    <w:p>
      <w:pPr>
        <w:jc w:val="left"/>
      </w:pPr>
      <w:r>
        <w:rPr>
          <w:b/>
          <w:bCs/>
        </w:rPr>
        <w:t>达索系统的转型启示</w:t>
      </w:r>
      <w:r>
        <w:rPr/>
        <w:t>：达索系统CEO帕斯卡尔·达洛兹明确指出，“按用户数计费不再适合AI代理和AI伴侣日益增多的环境”，其新定价体系围绕“知识单元+专业单元+工作单元”构建。EVOLUTION AI应借鉴这一思路——Enterprise层的定价不仅按席位，更应考虑：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知识单元</w:t>
      </w:r>
      <w:r>
        <w:rPr/>
        <w:t>：品牌DNA模型的训练与存储（每个品牌需专属AI模型）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专业单元</w:t>
      </w:r>
      <w:r>
        <w:rPr/>
        <w:t>：特定车型类别（SUV/轿车/跑车/MPV）的参数库授权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工作单元</w:t>
      </w:r>
      <w:r>
        <w:rPr/>
        <w:t>：实际使用的算力与生成次数</w:t>
      </w:r>
    </w:p>
    <w:p>
      <w:pPr>
        <w:pStyle w:val="5"/>
        <w:jc w:val="left"/>
      </w:pPr>
      <w:r>
        <w:rPr/>
        <w:t>3.2 第二层：用量付费收入（弹性增长）</w:t>
      </w:r>
    </w:p>
    <w:p>
      <w:pPr>
        <w:jc w:val="left"/>
      </w:pPr>
      <w:r>
        <w:rPr/>
        <w:t>参考SOLIDWORKS CEO提出的“按需消费模式”——企业用户无需为全套AI功能预付高昂费用，可根据需要订阅不同技能组合，按实际消耗的计算资源计费。</w:t>
      </w:r>
    </w:p>
    <w:p>
      <w:pPr>
        <w:jc w:val="left"/>
      </w:pPr>
      <w:r>
        <w:rPr/>
        <w:t>EVOLUTION AI的用量付费项目：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计费项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计费单位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单价（预估）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触发场景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AI曲面优化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每次优化任务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$50-200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将B级曲面提升至A级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高质量渲染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每张渲染图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$5-20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评审会、营销物料生成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批量概念生成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每100个变体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$100-500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创意探索阶段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数据导出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每次IGES/STEP/JT导出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$50-150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工程数据交付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额外存储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每GB/月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$1-5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项目归档与版本管理</w:t>
            </w:r>
          </w:p>
        </w:tc>
      </w:tr>
    </w:tbl>
    <w:p>
      <w:pPr>
        <w:jc w:val="left"/>
      </w:pPr>
      <w:r>
        <w:rPr>
          <w:b/>
          <w:bCs/>
        </w:rPr>
        <w:t>用量付费的优势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降低客户入门门槛（按需付费，无需大额前期投入）</w:t>
      </w:r>
    </w:p>
    <w:p>
      <w:pPr>
        <w:numPr>
          <w:ilvl w:val="0"/>
          <w:numId w:val="2"/>
        </w:numPr>
        <w:jc w:val="left"/>
      </w:pPr>
      <w:r>
        <w:rPr/>
        <w:t>收入与客户使用深度正相关（客户用得越多，付费越多）</w:t>
      </w:r>
    </w:p>
    <w:p>
      <w:pPr>
        <w:numPr>
          <w:ilvl w:val="0"/>
          <w:numId w:val="2"/>
        </w:numPr>
        <w:jc w:val="left"/>
      </w:pPr>
      <w:r>
        <w:rPr/>
        <w:t>捕捉AI创造的实际价值（而非简单按座位收费）</w:t>
      </w:r>
    </w:p>
    <w:p>
      <w:pPr>
        <w:pStyle w:val="5"/>
        <w:jc w:val="left"/>
      </w:pPr>
      <w:r>
        <w:rPr/>
        <w:t>3.3 第三层：价值分成收入（高价值捕获）</w:t>
      </w:r>
    </w:p>
    <w:p>
      <w:pPr>
        <w:jc w:val="left"/>
      </w:pPr>
      <w:r>
        <w:rPr/>
        <w:t>这是最具创新性的收入模式。达索系统已在实践：对于用虚拟双胞胎自动设计的汽车前照灯，公司按节省的工程成本的一部分收费，而非按座位数。达索CEO表示：“虚拟双胞胎正在成为一种货币……我们将从销售软件访问权转向货币化平台创造的IP和性能”。</w:t>
      </w:r>
    </w:p>
    <w:p>
      <w:pPr>
        <w:jc w:val="left"/>
      </w:pPr>
      <w:r>
        <w:rPr/>
        <w:t>EVOLUTION AI可借鉴此模式：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价值分成场景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分成基础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分成比例（预估）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工程变更减少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节省的ECR（工程变更请求）成本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10-20%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平台早期发现设计缺陷，避免后期返工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油泥模型节省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减少的物理模型制作成本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10-15%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每个油泥模型$50K+，减少5次即节省$250K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上市加速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提前上市带来的额外利润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1-5%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每提前1个月上市，OEM可增加数百万美元收入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设计IP变现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平台生成的优质设计方案的授权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双方协商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平台积累的设计数据可作为IP资产</w:t>
            </w:r>
          </w:p>
        </w:tc>
      </w:tr>
    </w:tbl>
    <w:p>
      <w:pPr>
        <w:jc w:val="left"/>
      </w:pPr>
      <w:r>
        <w:rPr>
          <w:b/>
          <w:bCs/>
        </w:rPr>
        <w:t>实施要点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价值分成需在合同中明确定义“基线”（如“未使用平台时的平均ECR次数”）</w:t>
      </w:r>
    </w:p>
    <w:p>
      <w:pPr>
        <w:numPr>
          <w:ilvl w:val="0"/>
          <w:numId w:val="2"/>
        </w:numPr>
        <w:jc w:val="left"/>
      </w:pPr>
      <w:r>
        <w:rPr/>
        <w:t>需建立可审计的度量体系</w:t>
      </w:r>
    </w:p>
    <w:p>
      <w:pPr>
        <w:numPr>
          <w:ilvl w:val="0"/>
          <w:numId w:val="2"/>
        </w:numPr>
        <w:jc w:val="left"/>
      </w:pPr>
      <w:r>
        <w:rPr/>
        <w:t>初期可与1-2家战略客户试点</w:t>
      </w:r>
    </w:p>
    <w:p>
      <w:pPr>
        <w:pStyle w:val="5"/>
        <w:jc w:val="left"/>
      </w:pPr>
      <w:r>
        <w:rPr/>
        <w:t>3.4 补充收入来源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收入来源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实施与培训服务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企业部署、团队培训、工作流定制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私有化部署授权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对安全要求极高的OEM提供本地部署版本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数据标注与模型微调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为客户训练专属品牌DNA模型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API调用收入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开放平台API供第三方开发者调用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低（长期）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设计竞赛/众包平台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参考阿尔特“汽车设计大众化”思路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实验性</w:t>
            </w:r>
          </w:p>
        </w:tc>
      </w:tr>
    </w:tbl>
    <w:p>
      <w:pPr>
        <w:pStyle w:val="4"/>
        <w:jc w:val="left"/>
      </w:pPr>
      <w:r>
        <w:rPr/>
        <w:t>四、定价策略</w:t>
      </w:r>
    </w:p>
    <w:p>
      <w:pPr>
        <w:pStyle w:val="5"/>
        <w:jc w:val="left"/>
      </w:pPr>
      <w:r>
        <w:rPr/>
        <w:t>4.1 定价原则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价值导向定价</w:t>
      </w:r>
      <w:r>
        <w:rPr/>
        <w:t>：价格锚定在客户节省的成本上（而非开发成本）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灵活入口</w:t>
      </w:r>
      <w:r>
        <w:rPr/>
        <w:t>：提供低门槛入门选项，降低客户尝试风险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向上销售路径清晰</w:t>
      </w:r>
      <w:r>
        <w:rPr/>
        <w:t>：Starter → Professional → Enterprise 的升级路径明确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中国市场的本地化定价</w:t>
      </w:r>
      <w:r>
        <w:rPr/>
        <w:t>：针对中国OEM和设计公司，提供具有竞争力的区域定价</w:t>
      </w:r>
    </w:p>
    <w:p>
      <w:pPr>
        <w:pStyle w:val="5"/>
        <w:jc w:val="left"/>
      </w:pPr>
      <w:r>
        <w:rPr/>
        <w:t>4.2 参考定价模型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对比维度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CATIA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阿尔特太乙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EVOLUTION AI（建议）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定价模式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传统许可证+按席位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商业化推广阶段，价格未公开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订阅+用量+价值分成混合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目标客户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大型OEM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OEM+设计公司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OEM+Tier-1+咨询机构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年费区间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$10K-100K+/席位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待观察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$2.4K-240K（灵活分层）</w:t>
            </w:r>
          </w:p>
        </w:tc>
      </w:tr>
    </w:tbl>
    <w:p>
      <w:pPr>
        <w:pStyle w:val="5"/>
        <w:jc w:val="left"/>
      </w:pPr>
      <w:r>
        <w:rPr/>
        <w:t>4.3 中国市场的特殊考量</w:t>
      </w:r>
    </w:p>
    <w:p>
      <w:pPr>
        <w:jc w:val="left"/>
      </w:pPr>
      <w:r>
        <w:rPr/>
        <w:t>中国汽车设计软件市场正处于快速增长期。针对中国市场：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提供人民币定价</w:t>
      </w:r>
      <w:r>
        <w:rPr/>
        <w:t>，避免汇率波动影响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推出“国产替代”优惠</w:t>
      </w:r>
      <w:r>
        <w:rPr/>
        <w:t>：针对从CATIA/Alias切换的客户提供迁移折扣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与本土云服务商合作</w:t>
      </w:r>
      <w:r>
        <w:rPr/>
        <w:t>（如阿里云、华为云），降低合规与部署成本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参考“设序科技”模式</w:t>
      </w:r>
      <w:r>
        <w:rPr/>
        <w:t>：除SaaS订阅外，提供“软件+工程师”的设计服务打包</w:t>
      </w:r>
    </w:p>
    <w:p>
      <w:pPr>
        <w:pStyle w:val="4"/>
        <w:jc w:val="left"/>
      </w:pPr>
      <w:r>
        <w:rPr/>
        <w:t>五、Go-to-Market策略</w:t>
      </w:r>
    </w:p>
    <w:p>
      <w:pPr>
        <w:pStyle w:val="5"/>
        <w:jc w:val="left"/>
      </w:pPr>
      <w:r>
        <w:rPr/>
        <w:t>5.1 分阶段推进路线图</w:t>
      </w:r>
    </w:p>
    <w:p>
      <w:pPr>
        <w:jc w:val="left"/>
      </w:pPr>
      <w:r>
        <w:rPr>
          <w:b/>
          <w:bCs/>
        </w:rPr>
        <w:t>第一阶段（0-12个月）：验证与标杆（聚焦中国OEM）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行动项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具体措施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预期成果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寻找2-3家中国OEM战略客户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免费POC（Proof of Concept）+ 深度共创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获取真实使用数据和案例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参加行业展会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上海车展、中国汽车工程学会年会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建立行业知名度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建立技术社区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开源部分工具、发布技术博客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吸引早期开发者和设计师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完成首批付费客户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3-5家Professional/Enterprise客户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ARR达$50-100万</w:t>
            </w:r>
          </w:p>
        </w:tc>
      </w:tr>
    </w:tbl>
    <w:p>
      <w:pPr>
        <w:jc w:val="left"/>
      </w:pPr>
      <w:r>
        <w:rPr>
          <w:b/>
          <w:bCs/>
        </w:rPr>
        <w:t>第二阶段（12-24个月）：扩张与产品化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行动项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具体措施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预期成果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拓展至Tier-1供应商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针对供应商场景优化产品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客户数达20-30家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推出Partner Program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与设计咨询机构建立渠道合作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间接覆盖更多终端客户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国际化准备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英文版产品、海外销售团队搭建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为进军欧洲/北美市场做准备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完成A轮融资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以ARR和客户增长为估值基础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融资$500-1000万</w:t>
            </w:r>
          </w:p>
        </w:tc>
      </w:tr>
    </w:tbl>
    <w:p>
      <w:pPr>
        <w:jc w:val="left"/>
      </w:pPr>
      <w:r>
        <w:rPr>
          <w:b/>
          <w:bCs/>
        </w:rPr>
        <w:t>第三阶段（24-36个月）：规模化与生态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行动项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具体措施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预期成果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进军欧洲市场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与欧洲OEM建立合作（大众、宝马等）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国际收入占比达30%+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构建开发者生态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开放API平台、插件市场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第三方开发者开始贡献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探索价值分成模式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与1-2家OEM签署价值分成协议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开辟第三收入曲线</w:t>
            </w:r>
          </w:p>
        </w:tc>
      </w:tr>
    </w:tbl>
    <w:p>
      <w:pPr>
        <w:pStyle w:val="5"/>
        <w:jc w:val="left"/>
      </w:pPr>
      <w:r>
        <w:rPr/>
        <w:t>5.2 关键合作伙伴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合作伙伴类型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具体伙伴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合作价值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云基础设施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AWS、阿里云、华为云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降低部署成本、保障合规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设计软件生态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Autodesk、达索系统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插件集成、数据互通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行业机构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中国汽车工程学会、CDN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标准制定、行业背书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渠道伙伴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设计咨询公司、IT系统集成商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拓展销售覆盖</w:t>
            </w:r>
          </w:p>
        </w:tc>
      </w:tr>
    </w:tbl>
    <w:p>
      <w:pPr>
        <w:pStyle w:val="4"/>
        <w:jc w:val="left"/>
      </w:pPr>
      <w:r>
        <w:rPr/>
        <w:t>六、财务预测与关键指标</w:t>
      </w:r>
    </w:p>
    <w:p>
      <w:pPr>
        <w:pStyle w:val="5"/>
        <w:jc w:val="left"/>
      </w:pPr>
      <w:r>
        <w:rPr/>
        <w:t>6.1 三年财务预测（示意）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3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客户数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10-20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50-100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150-300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ARR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$0.5-1M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$3-6M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$10-20M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订阅收入占比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55%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用量收入占比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28%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30%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价值分成收入占比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15%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毛利率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60-70%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70-80%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75-85%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CAC（客户获取成本）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$30-50K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$15-25K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$10-15K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LTV（客户终身价值）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$100-200K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$200-400K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$400-800K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LTV/CAC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3-4x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8-16x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25-50x</w:t>
            </w:r>
          </w:p>
        </w:tc>
      </w:tr>
    </w:tbl>
    <w:p>
      <w:pPr>
        <w:pStyle w:val="5"/>
        <w:jc w:val="left"/>
      </w:pPr>
      <w:r>
        <w:rPr/>
        <w:t>6.2 关键成功指标（KPI）</w:t>
      </w:r>
    </w:p>
    <w:p>
      <w:pPr>
        <w:jc w:val="left"/>
      </w:pPr>
      <w:r>
        <w:rPr>
          <w:b/>
          <w:bCs/>
        </w:rPr>
        <w:t>产品指标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月活用户数（MAU）及增长率</w:t>
      </w:r>
    </w:p>
    <w:p>
      <w:pPr>
        <w:numPr>
          <w:ilvl w:val="0"/>
          <w:numId w:val="2"/>
        </w:numPr>
        <w:jc w:val="left"/>
      </w:pPr>
      <w:r>
        <w:rPr/>
        <w:t>曲面优化任务数/月</w:t>
      </w:r>
    </w:p>
    <w:p>
      <w:pPr>
        <w:numPr>
          <w:ilvl w:val="0"/>
          <w:numId w:val="2"/>
        </w:numPr>
        <w:jc w:val="left"/>
      </w:pPr>
      <w:r>
        <w:rPr/>
        <w:t>平台生成的设计方案总数</w:t>
      </w:r>
    </w:p>
    <w:p>
      <w:pPr>
        <w:numPr>
          <w:ilvl w:val="0"/>
          <w:numId w:val="2"/>
        </w:numPr>
        <w:jc w:val="left"/>
      </w:pPr>
      <w:r>
        <w:rPr/>
        <w:t>NPS（净推荐值）≥50</w:t>
      </w:r>
    </w:p>
    <w:p>
      <w:pPr>
        <w:jc w:val="left"/>
      </w:pPr>
      <w:r>
        <w:rPr>
          <w:b/>
          <w:bCs/>
        </w:rPr>
        <w:t>商业指标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年度经常性收入（ARR）及增长率</w:t>
      </w:r>
    </w:p>
    <w:p>
      <w:pPr>
        <w:numPr>
          <w:ilvl w:val="0"/>
          <w:numId w:val="2"/>
        </w:numPr>
        <w:jc w:val="left"/>
      </w:pPr>
      <w:r>
        <w:rPr/>
        <w:t>客户留存率（目标：≥90%）</w:t>
      </w:r>
    </w:p>
    <w:p>
      <w:pPr>
        <w:numPr>
          <w:ilvl w:val="0"/>
          <w:numId w:val="2"/>
        </w:numPr>
        <w:jc w:val="left"/>
      </w:pPr>
      <w:r>
        <w:rPr/>
        <w:t>净收入留存率（NDR，目标：≥120%）</w:t>
      </w:r>
    </w:p>
    <w:p>
      <w:pPr>
        <w:numPr>
          <w:ilvl w:val="0"/>
          <w:numId w:val="2"/>
        </w:numPr>
        <w:jc w:val="left"/>
      </w:pPr>
      <w:r>
        <w:rPr/>
        <w:t>平均合同价值（ACV）</w:t>
      </w:r>
    </w:p>
    <w:p>
      <w:pPr>
        <w:jc w:val="left"/>
      </w:pPr>
      <w:r>
        <w:rPr>
          <w:b/>
          <w:bCs/>
        </w:rPr>
        <w:t>效率指标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LTV/CAC比率（目标：≥5x）</w:t>
      </w:r>
    </w:p>
    <w:p>
      <w:pPr>
        <w:numPr>
          <w:ilvl w:val="0"/>
          <w:numId w:val="2"/>
        </w:numPr>
        <w:jc w:val="left"/>
      </w:pPr>
      <w:r>
        <w:rPr/>
        <w:t>毛利率（目标：≥70%）</w:t>
      </w:r>
    </w:p>
    <w:p>
      <w:pPr>
        <w:numPr>
          <w:ilvl w:val="0"/>
          <w:numId w:val="2"/>
        </w:numPr>
        <w:jc w:val="left"/>
      </w:pPr>
      <w:r>
        <w:rPr/>
        <w:t>烧钱率与 runway</w:t>
      </w:r>
    </w:p>
    <w:p>
      <w:pPr>
        <w:pStyle w:val="4"/>
        <w:jc w:val="left"/>
      </w:pPr>
      <w:r>
        <w:rPr/>
        <w:t>七、风险分析与应对</w:t>
      </w:r>
    </w:p>
    <w:p>
      <w:pPr>
        <w:pStyle w:val="5"/>
        <w:jc w:val="left"/>
      </w:pPr>
      <w:r>
        <w:rPr/>
        <w:t>7.1 主要风险与缓解措施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风险类型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风险描述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概率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影响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缓解措施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市场竞争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达索/CATIA等巨头快速推出类似AI功能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差异化定位、快速迭代、深耕中国本土市场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技术风险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AI优化效果不及预期，无法达到A级标准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持续研发投入、与OEM共建测试集、渐进式交付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客户集中度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初期过度依赖1-2家大客户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主动分散客户组合、同时拓展Tier-1和咨询机构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定价风险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价值分成模式客户接受度低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从简单订阅起步，价值分成作为长期选项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合规风险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工业软件出口管制、数据安全法规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本地化部署选项、合规团队建设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人才风险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AI+汽车设计的复合型人才稀缺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建立培训体系、与高校合作、远程国际化招聘</w:t>
            </w:r>
          </w:p>
        </w:tc>
      </w:tr>
    </w:tbl>
    <w:p>
      <w:pPr>
        <w:pStyle w:val="5"/>
        <w:jc w:val="left"/>
      </w:pPr>
      <w:r>
        <w:rPr/>
        <w:t>7.2 竞争护城河构建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数据飞轮</w:t>
      </w:r>
      <w:r>
        <w:rPr/>
        <w:t>：随着更多OEM使用平台，积累的设计数据与优化案例形成独占性资产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工作流锁定</w:t>
      </w:r>
      <w:r>
        <w:rPr/>
        <w:t>：深度嵌入OEM的造型-工程流程，切换成本极高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参数库积累</w:t>
      </w:r>
      <w:r>
        <w:rPr/>
        <w:t>：21参数体系 + 车型本体库持续扩展，形成行业标准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品牌DNA模型</w:t>
      </w:r>
      <w:r>
        <w:rPr/>
        <w:t>：为每个客户训练专属AI模型，形成深度绑定</w:t>
      </w:r>
    </w:p>
    <w:p>
      <w:pPr>
        <w:pStyle w:val="4"/>
        <w:jc w:val="left"/>
      </w:pPr>
      <w:r>
        <w:rPr/>
        <w:t>八、总结</w:t>
      </w:r>
    </w:p>
    <w:p>
      <w:pPr>
        <w:jc w:val="left"/>
      </w:pPr>
      <w:r>
        <w:rPr/>
        <w:t xml:space="preserve">EVOLUTION AI的商业模式核心可概括为 </w:t>
      </w:r>
      <w:r>
        <w:rPr>
          <w:b/>
          <w:bCs/>
        </w:rPr>
        <w:t>“三层收入、三个阶段、一个飞轮”</w:t>
      </w:r>
      <w:r>
        <w:rPr/>
        <w:t xml:space="preserve"> ：</w:t>
      </w:r>
    </w:p>
    <w:p>
      <w:pPr>
        <w:jc w:val="left"/>
      </w:pPr>
      <w:r>
        <w:rPr>
          <w:b/>
          <w:bCs/>
        </w:rPr>
        <w:t>三层收入</w:t>
      </w:r>
      <w:r>
        <w:rPr/>
        <w:t>：SaaS订阅（稳定现金流）+ 用量付费（弹性增长）+ 价值分成（高价值捕获）</w:t>
      </w:r>
    </w:p>
    <w:p>
      <w:pPr>
        <w:jc w:val="left"/>
      </w:pPr>
      <w:r>
        <w:rPr>
          <w:b/>
          <w:bCs/>
        </w:rPr>
        <w:t>三个阶段</w:t>
      </w:r>
      <w:r>
        <w:rPr/>
        <w:t>：标杆验证（Year 1）→ 规模扩张（Year 2）→ 生态构建（Year 3）</w:t>
      </w:r>
    </w:p>
    <w:p>
      <w:pPr>
        <w:jc w:val="left"/>
      </w:pPr>
      <w:r>
        <w:rPr>
          <w:b/>
          <w:bCs/>
        </w:rPr>
        <w:t>一个飞轮</w:t>
      </w:r>
      <w:r>
        <w:rPr/>
        <w:t>：更多客户 → 更多设计数据 → 更好的AI模型 → 更高的客户价值 → 更多的客户</w:t>
      </w:r>
    </w:p>
    <w:p>
      <w:pPr>
        <w:jc w:val="left"/>
      </w:pPr>
      <w:r>
        <w:rPr/>
        <w:t>在生成式设计软件市场以18.5% CAGR增长至2031年近百亿美元的大背景下，EVOLUTION AI凭借其“3D参数化A级曲面全流程平台”的差异化定位和创新的混合收入模式，有望在这一波AI驱动的工业设计变革中占据重要位置。正如达索系统CEO所言，行业正在“从销售软件访问权转向货币化平台创造的IP和性能”——EVOLUTION AI应当成为这一趋势的引领者，而非跟随者。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2026-06-27T11:11:20Z</dcterms:created>
  <dcterms:modified xsi:type="dcterms:W3CDTF">2026-06-27T11:11:20Z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