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EVOLUTION AI 项目硬件、软件、算法与模型支持策略</w:t>
      </w:r>
    </w:p>
    <w:p>
      <w:pPr>
        <w:pStyle w:val="3"/>
        <w:jc w:val="left"/>
      </w:pPr>
      <w:r>
        <w:rPr/>
        <w:t>EVOLUTION AI 项目硬件、软件、算法与模型支持策略</w:t>
      </w:r>
    </w:p>
    <w:p>
      <w:pPr>
        <w:pStyle w:val="4"/>
        <w:jc w:val="left"/>
      </w:pPr>
      <w:r>
        <w:rPr/>
        <w:t>一、总览：四层协同的技术支持体系</w:t>
      </w:r>
    </w:p>
    <w:p>
      <w:pPr>
        <w:jc w:val="left"/>
      </w:pPr>
      <w:r>
        <w:rPr/>
        <w:t xml:space="preserve">EVOLUTION AI作为AI驱动的实时汽车造型优化平台，其技术支持体系需要覆盖从底层算力到上层应用的完整链条。参照行业最佳实践，EVOLUTION AI采用 </w:t>
      </w:r>
      <w:r>
        <w:rPr>
          <w:b/>
          <w:bCs/>
        </w:rPr>
        <w:t>“硬件加速 + 软件架构 + 算法引擎 + AI模型”</w:t>
      </w:r>
      <w:r>
        <w:rPr/>
        <w:t xml:space="preserve"> 四层协同的技术支持策略。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4903"/>
      </w:tblGrid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层级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核心职能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关键技术与选型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硬件层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提供算力基础，支撑AI推理与3D渲染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GPU工作站、云GPU实例、边缘推理设备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软件架构层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实现系统模块化、可扩展与跨平台部署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微服务、云原生、WebAssembly、Three.js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算法引擎层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执行曲面生成、优化与质量评估的核心计算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参数化建模、模拟退火、贝叶斯优化、神经代理模型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AI模型层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提供智能决策与生成能力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LLM、视觉语言模型、几何深度学习模型</w:t>
            </w:r>
          </w:p>
        </w:tc>
      </w:tr>
    </w:tbl>
    <w:p>
      <w:pPr>
        <w:pStyle w:val="4"/>
        <w:jc w:val="left"/>
      </w:pPr>
      <w:r>
        <w:rPr/>
        <w:t>二、硬件支持策略</w:t>
      </w:r>
    </w:p>
    <w:p>
      <w:pPr>
        <w:pStyle w:val="5"/>
        <w:jc w:val="left"/>
      </w:pPr>
      <w:r>
        <w:rPr/>
        <w:t>2.1 分层硬件架构</w:t>
      </w:r>
    </w:p>
    <w:p>
      <w:pPr>
        <w:jc w:val="left"/>
      </w:pPr>
      <w:r>
        <w:rPr/>
        <w:t xml:space="preserve">EVOLUTION AI采用 </w:t>
      </w:r>
      <w:r>
        <w:rPr>
          <w:b/>
          <w:bCs/>
        </w:rPr>
        <w:t>“端-边-云”三级硬件架构</w:t>
      </w:r>
      <w:r>
        <w:rPr/>
        <w:t>，根据不同场景的算力需求与延迟要求进行差异化配置：</w:t>
      </w:r>
    </w:p>
    <w:p>
      <w:pPr>
        <w:jc w:val="left"/>
      </w:pPr>
      <w:r>
        <w:rPr>
          <w:b/>
          <w:bCs/>
        </w:rPr>
        <w:t>第一层：云端（训练与大规模推理）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职能</w:t>
      </w:r>
      <w:r>
        <w:rPr/>
        <w:t>：负责AI模型训练（基于TensorFlow/PyTorch）、大规模参数优化计算、以及全局任务编排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硬件选型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训练集群：NVIDIA A100/H100 GPU集群，支持大规模并行训练</w:t>
      </w:r>
    </w:p>
    <w:p>
      <w:pPr>
        <w:numPr>
          <w:ilvl w:val="1"/>
          <w:numId w:val="2"/>
        </w:numPr>
        <w:jc w:val="left"/>
      </w:pPr>
      <w:r>
        <w:rPr/>
        <w:t>推理服务：NVIDIA Triton推理服务器，支持模型的高效部署与规模化推理</w:t>
      </w:r>
    </w:p>
    <w:p>
      <w:pPr>
        <w:numPr>
          <w:ilvl w:val="1"/>
          <w:numId w:val="2"/>
        </w:numPr>
        <w:jc w:val="left"/>
      </w:pPr>
      <w:r>
        <w:rPr/>
        <w:t>云服务商：AWS（配备Inferentia2芯片，支持千亿参数模型秒级部署）、阿里云（GPU云服务器）、华为云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适用场景</w:t>
      </w:r>
      <w:r>
        <w:rPr/>
        <w:t>：模型训练、批量概念生成、大规模曲面优化</w:t>
      </w:r>
    </w:p>
    <w:p>
      <w:pPr>
        <w:jc w:val="left"/>
      </w:pPr>
      <w:r>
        <w:rPr>
          <w:b/>
          <w:bCs/>
        </w:rPr>
        <w:t>第二层：边缘（实时推理与协同）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职能</w:t>
      </w:r>
      <w:r>
        <w:rPr/>
        <w:t>：部署中等规模模型，实现产线协同与跨设备信息整合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硬件选型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企业本地服务器：集成NVIDIA RTX A6000或L40 GPU</w:t>
      </w:r>
    </w:p>
    <w:p>
      <w:pPr>
        <w:numPr>
          <w:ilvl w:val="1"/>
          <w:numId w:val="2"/>
        </w:numPr>
        <w:jc w:val="left"/>
      </w:pPr>
      <w:r>
        <w:rPr/>
        <w:t>边缘计算节点：采用“硬件加速+算法优化”混合架构，在传统工作站基础上集成专用AI计算单元</w:t>
      </w:r>
    </w:p>
    <w:p>
      <w:pPr>
        <w:numPr>
          <w:ilvl w:val="1"/>
          <w:numId w:val="2"/>
        </w:numPr>
        <w:jc w:val="left"/>
      </w:pPr>
      <w:r>
        <w:rPr/>
        <w:t>惠普Z系列AI图形工作站：集成高性能GPU，加速AI模型推理与实时渲染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适用场景</w:t>
      </w:r>
      <w:r>
        <w:rPr/>
        <w:t>：OEM设计工作室的本地化部署、实时曲面优化、WebGL渲染加速</w:t>
      </w:r>
    </w:p>
    <w:p>
      <w:pPr>
        <w:jc w:val="left"/>
      </w:pPr>
      <w:r>
        <w:rPr>
          <w:b/>
          <w:bCs/>
        </w:rPr>
        <w:t>第三层：终端（展示与轻量交互）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职能</w:t>
      </w:r>
      <w:r>
        <w:rPr/>
        <w:t>：3D实时渲染、参数交互、轻量级本地计算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硬件选型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设计师工作站：支持WebGL 2.0的GPU（NVIDIA Quadro/RTX系列）</w:t>
      </w:r>
    </w:p>
    <w:p>
      <w:pPr>
        <w:numPr>
          <w:ilvl w:val="1"/>
          <w:numId w:val="2"/>
        </w:numPr>
        <w:jc w:val="left"/>
      </w:pPr>
      <w:r>
        <w:rPr/>
        <w:t>移动端设备：支持WebGL的平板与手机（用于评审与展示）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适用场景</w:t>
      </w:r>
      <w:r>
        <w:rPr/>
        <w:t>：浏览器端3D预览、参数调整、评审演示</w:t>
      </w:r>
    </w:p>
    <w:p>
      <w:pPr>
        <w:pStyle w:val="5"/>
        <w:jc w:val="left"/>
      </w:pPr>
      <w:r>
        <w:rPr/>
        <w:t>2.2 GPU加速策略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计算任务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GPU需求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推荐硬件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预期加速比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AI模型训练（大规模）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高显存、高算力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NVIDIA A100 (40GB+)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10-50x vs CPU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曲面优化推理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中等算力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NVIDIA RTX 4080/4090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5-10x vs CPU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实时WebGL渲染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图形渲染能力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NVIDIA RTX A2000+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60fps保障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边缘端推理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低功耗、低延迟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NVIDIA Jetson Orin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实时响应</w:t>
            </w:r>
          </w:p>
        </w:tc>
      </w:tr>
    </w:tbl>
    <w:p>
      <w:pPr>
        <w:pStyle w:val="5"/>
        <w:jc w:val="left"/>
      </w:pPr>
      <w:r>
        <w:rPr/>
        <w:t>2.3 硬件部署策略建议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SaaS公有云模式</w:t>
      </w:r>
      <w:r>
        <w:rPr/>
        <w:t>：对于标准订阅用户，采用云端GPU实例按需分配，降低客户硬件门槛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私有化部署模式</w:t>
      </w:r>
      <w:r>
        <w:rPr/>
        <w:t>：对于大型OEM（安全要求高），提供本地服务器+工作站的一体化部署方案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混合部署模式</w:t>
      </w:r>
      <w:r>
        <w:rPr/>
        <w:t>：云端训练+边缘推理，训练在云上完成，推理在客户本地执行，兼顾安全与效率</w:t>
      </w:r>
    </w:p>
    <w:p>
      <w:pPr>
        <w:pStyle w:val="4"/>
        <w:jc w:val="left"/>
      </w:pPr>
      <w:r>
        <w:rPr/>
        <w:t>三、软件架构支持策略</w:t>
      </w:r>
    </w:p>
    <w:p>
      <w:pPr>
        <w:pStyle w:val="5"/>
        <w:jc w:val="left"/>
      </w:pPr>
      <w:r>
        <w:rPr/>
        <w:t>3.1 整体技术栈</w:t>
      </w:r>
    </w:p>
    <w:p>
      <w:pPr>
        <w:jc w:val="left"/>
      </w:pPr>
      <w:r>
        <w:rPr/>
        <w:t>参照云原生CAD的行业最佳实践，EVOLUTION AI采用以下技术栈：</w:t>
      </w:r>
    </w:p>
    <w:p>
      <w:pPr>
        <w:pStyle w:val="15"/>
        <w:numPr>
          <w:ilvl w:val="0"/>
          <w:numId w:val="4"/>
        </w:numPr>
        <w:jc w:val="left"/>
      </w:pPr>
      <w:r>
        <w:rPr/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15"/>
        <w:numPr>
          <w:ilvl w:val="0"/>
          <w:numId w:val="4"/>
        </w:numPr>
        <w:jc w:val="left"/>
      </w:pPr>
      <w:r>
        <w:rPr/>
        <w:t>│                    应用层 (Application)                      │</w:t>
      </w:r>
    </w:p>
    <w:p>
      <w:pPr>
        <w:pStyle w:val="15"/>
        <w:numPr>
          <w:ilvl w:val="0"/>
          <w:numId w:val="4"/>
        </w:numPr>
        <w:jc w:val="left"/>
      </w:pPr>
      <w:r>
        <w:rPr/>
        <w:t>│  React/Vue.js + Three.js + 原生WebComponents               │</w:t>
      </w:r>
    </w:p>
    <w:p>
      <w:pPr>
        <w:pStyle w:val="15"/>
        <w:numPr>
          <w:ilvl w:val="0"/>
          <w:numId w:val="4"/>
        </w:numPr>
        <w:jc w:val="left"/>
      </w:pPr>
      <w:r>
        <w:rPr/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15"/>
        <w:numPr>
          <w:ilvl w:val="0"/>
          <w:numId w:val="4"/>
        </w:numPr>
        <w:jc w:val="left"/>
      </w:pPr>
      <w:r>
        <w:rPr/>
        <w:t>│                    引擎层 (Engine)                          │</w:t>
      </w:r>
    </w:p>
    <w:p>
      <w:pPr>
        <w:pStyle w:val="15"/>
        <w:numPr>
          <w:ilvl w:val="0"/>
          <w:numId w:val="4"/>
        </w:numPr>
        <w:jc w:val="left"/>
      </w:pPr>
      <w:r>
        <w:rPr/>
        <w:t>│  FastAPI (后端) + trimesh (几何处理) + 模拟退火/贝叶斯优化  │</w:t>
      </w:r>
    </w:p>
    <w:p>
      <w:pPr>
        <w:pStyle w:val="15"/>
        <w:numPr>
          <w:ilvl w:val="0"/>
          <w:numId w:val="4"/>
        </w:numPr>
        <w:jc w:val="left"/>
      </w:pPr>
      <w:r>
        <w:rPr/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15"/>
        <w:numPr>
          <w:ilvl w:val="0"/>
          <w:numId w:val="4"/>
        </w:numPr>
        <w:jc w:val="left"/>
      </w:pPr>
      <w:r>
        <w:rPr/>
        <w:t>│                    数据层 (Data)                            │</w:t>
      </w:r>
    </w:p>
    <w:p>
      <w:pPr>
        <w:pStyle w:val="15"/>
        <w:numPr>
          <w:ilvl w:val="0"/>
          <w:numId w:val="4"/>
        </w:numPr>
        <w:jc w:val="left"/>
      </w:pPr>
      <w:r>
        <w:rPr/>
        <w:t>│  PostgreSQL + Redis + 工业知识图谱 + 车型参数库            │</w:t>
      </w:r>
    </w:p>
    <w:p>
      <w:pPr>
        <w:pStyle w:val="15"/>
        <w:numPr>
          <w:ilvl w:val="0"/>
          <w:numId w:val="4"/>
        </w:numPr>
        <w:jc w:val="left"/>
      </w:pPr>
      <w:r>
        <w:rPr/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15"/>
        <w:numPr>
          <w:ilvl w:val="0"/>
          <w:numId w:val="4"/>
        </w:numPr>
        <w:jc w:val="left"/>
      </w:pPr>
      <w:r>
        <w:rPr/>
        <w:t>│                    部署层 (Deployment)                      │</w:t>
      </w:r>
    </w:p>
    <w:p>
      <w:pPr>
        <w:pStyle w:val="15"/>
        <w:numPr>
          <w:ilvl w:val="0"/>
          <w:numId w:val="4"/>
        </w:numPr>
        <w:jc w:val="left"/>
      </w:pPr>
      <w:r>
        <w:rPr/>
        <w:t>│  Docker + Kubernetes + Istio + Cloudflare Workers          │</w:t>
      </w:r>
    </w:p>
    <w:p>
      <w:pPr>
        <w:pStyle w:val="15"/>
        <w:numPr>
          <w:ilvl w:val="0"/>
          <w:numId w:val="4"/>
        </w:numPr>
        <w:jc w:val="left"/>
      </w:pPr>
      <w:r>
        <w:rP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5"/>
        <w:jc w:val="left"/>
      </w:pPr>
      <w:r>
        <w:rPr/>
        <w:t>3.2 前端架构（Three.js + WebGL）</w:t>
      </w:r>
    </w:p>
    <w:p>
      <w:pPr>
        <w:jc w:val="left"/>
      </w:pPr>
      <w:r>
        <w:rPr/>
        <w:t>EVOLUTION AI的前端基于Three.js构建实时3D汽车造型预览。核心优化策略包括：</w:t>
      </w:r>
    </w:p>
    <w:p>
      <w:pPr>
        <w:jc w:val="left"/>
      </w:pPr>
      <w:r>
        <w:rPr>
          <w:b/>
          <w:bCs/>
        </w:rPr>
        <w:t>（1）模型轻量化与渲染优化</w:t>
      </w:r>
    </w:p>
    <w:p>
      <w:pPr>
        <w:numPr>
          <w:ilvl w:val="0"/>
          <w:numId w:val="2"/>
        </w:numPr>
        <w:jc w:val="left"/>
      </w:pPr>
      <w:r>
        <w:rPr/>
        <w:t>网格顶点数控制在30K以内（车壳</w:t>
      </w:r>
      <w:r>
        <w:rPr>
          <w:u w:val="single" w:color="auto"/>
        </w:rPr>
        <w:t>10K + 部件</w:t>
      </w:r>
      <w:r>
        <w:rPr/>
        <w:t>5K + 车轮~15K）</w:t>
      </w:r>
    </w:p>
    <w:p>
      <w:pPr>
        <w:numPr>
          <w:ilvl w:val="0"/>
          <w:numId w:val="2"/>
        </w:numPr>
        <w:jc w:val="left"/>
      </w:pPr>
      <w:r>
        <w:rPr/>
        <w:t>使用</w:t>
      </w:r>
      <w:r>
        <w:rPr>
          <w:rStyle w:val="13"/>
        </w:rPr>
        <w:t>BufferGeometryUtils.mergeBufferGeometries()</w:t>
      </w:r>
      <w:r>
        <w:rPr/>
        <w:t>合并多个几何体，减少draw call</w:t>
      </w:r>
    </w:p>
    <w:p>
      <w:pPr>
        <w:numPr>
          <w:ilvl w:val="0"/>
          <w:numId w:val="2"/>
        </w:numPr>
        <w:jc w:val="left"/>
      </w:pPr>
      <w:r>
        <w:rPr/>
        <w:t>采用LOD（Level of Detail）技术，根据相机距离动态切换模型精度</w:t>
      </w:r>
    </w:p>
    <w:p>
      <w:pPr>
        <w:numPr>
          <w:ilvl w:val="0"/>
          <w:numId w:val="2"/>
        </w:numPr>
        <w:jc w:val="left"/>
      </w:pPr>
      <w:r>
        <w:rPr/>
        <w:t>使用InstancedMesh批量渲染重复部件（如车轮辐条）</w:t>
      </w:r>
    </w:p>
    <w:p>
      <w:pPr>
        <w:jc w:val="left"/>
      </w:pPr>
      <w:r>
        <w:rPr>
          <w:b/>
          <w:bCs/>
        </w:rPr>
        <w:t>（2）资源调度与内存管理</w:t>
      </w:r>
    </w:p>
    <w:p>
      <w:pPr>
        <w:numPr>
          <w:ilvl w:val="0"/>
          <w:numId w:val="2"/>
        </w:numPr>
        <w:jc w:val="left"/>
      </w:pPr>
      <w:r>
        <w:rPr/>
        <w:t>分块加载策略：仅加载当前可视区域内的资源</w:t>
      </w:r>
    </w:p>
    <w:p>
      <w:pPr>
        <w:numPr>
          <w:ilvl w:val="0"/>
          <w:numId w:val="2"/>
        </w:numPr>
        <w:jc w:val="left"/>
      </w:pPr>
      <w:r>
        <w:rPr/>
        <w:t>WebWorker资源预处理：在主线程外进行模型解析，避免阻塞渲染循环</w:t>
      </w:r>
    </w:p>
    <w:p>
      <w:pPr>
        <w:numPr>
          <w:ilvl w:val="0"/>
          <w:numId w:val="2"/>
        </w:numPr>
        <w:jc w:val="left"/>
      </w:pPr>
      <w:r>
        <w:rPr/>
        <w:t>渐进式纹理加载：初始加载低分辨率预览，逐步加载高精度纹理</w:t>
      </w:r>
    </w:p>
    <w:p>
      <w:pPr>
        <w:jc w:val="left"/>
      </w:pPr>
      <w:r>
        <w:rPr>
          <w:b/>
          <w:bCs/>
        </w:rPr>
        <w:t>（3）参数联动优化</w:t>
      </w:r>
    </w:p>
    <w:p>
      <w:pPr>
        <w:numPr>
          <w:ilvl w:val="0"/>
          <w:numId w:val="2"/>
        </w:numPr>
        <w:jc w:val="left"/>
      </w:pPr>
      <w:r>
        <w:rPr/>
        <w:t>滑块输入采用debounce(16ms)防抖，确保单帧内不重复计算</w:t>
      </w:r>
    </w:p>
    <w:p>
      <w:pPr>
        <w:numPr>
          <w:ilvl w:val="0"/>
          <w:numId w:val="2"/>
        </w:numPr>
        <w:jc w:val="left"/>
      </w:pPr>
      <w:r>
        <w:rPr/>
        <w:t>使用</w:t>
      </w:r>
      <w:r>
        <w:rPr>
          <w:rStyle w:val="13"/>
        </w:rPr>
        <w:t>Object.is(oldVal, newVal)</w:t>
      </w:r>
      <w:r>
        <w:rPr/>
        <w:t>跳过无变化参数的重新推导</w:t>
      </w:r>
    </w:p>
    <w:p>
      <w:pPr>
        <w:numPr>
          <w:ilvl w:val="0"/>
          <w:numId w:val="2"/>
        </w:numPr>
        <w:jc w:val="left"/>
      </w:pPr>
      <w:r>
        <w:rPr/>
        <w:t>WebSocket/SSE推送参数更新，端到端响应&lt;1秒</w:t>
      </w:r>
    </w:p>
    <w:p>
      <w:pPr>
        <w:pStyle w:val="5"/>
        <w:jc w:val="left"/>
      </w:pPr>
      <w:r>
        <w:rPr/>
        <w:t>3.3 后端架构（FastAPI + 微服务）</w:t>
      </w:r>
    </w:p>
    <w:p>
      <w:pPr>
        <w:jc w:val="left"/>
      </w:pPr>
      <w:r>
        <w:rPr>
          <w:b/>
          <w:bCs/>
        </w:rPr>
        <w:t>（1）微服务拆分</w:t>
      </w:r>
    </w:p>
    <w:p>
      <w:pPr>
        <w:jc w:val="left"/>
      </w:pPr>
      <w:r>
        <w:rPr/>
        <w:t>参照微服务架构设计，将系统拆分为独立服务：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服务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职能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技术选型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参数服务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21参数管理与校验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FastAPI + Pydantic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建模服务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曲面生成与网格构建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Python + trimesh + numpy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优化服务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AI曲面优化（模拟退火/贝叶斯）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Python + scipy.optimize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评估服务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G0/G1/G2质量评估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Python + 自定义几何算法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渲染服务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实时渲染与GLB生成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Three.js + Node.js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导出服务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IGES/STEP/JT格式导出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Python + OCC</w:t>
            </w:r>
          </w:p>
        </w:tc>
      </w:tr>
    </w:tbl>
    <w:p>
      <w:pPr>
        <w:jc w:val="left"/>
      </w:pPr>
      <w:r>
        <w:rPr>
          <w:b/>
          <w:bCs/>
        </w:rPr>
        <w:t>（2）WebAssembly几何内核</w:t>
      </w:r>
    </w:p>
    <w:p>
      <w:pPr>
        <w:jc w:val="left"/>
      </w:pPr>
      <w:r>
        <w:rPr/>
        <w:t>对于计算密集型的几何操作（如布尔运算、曲面光顺），采用WebAssembly（WASM）技术将C++几何内核编译为浏览器可执行代码。关键优化策略包括：</w:t>
      </w:r>
    </w:p>
    <w:p>
      <w:pPr>
        <w:numPr>
          <w:ilvl w:val="0"/>
          <w:numId w:val="2"/>
        </w:numPr>
        <w:jc w:val="left"/>
      </w:pPr>
      <w:r>
        <w:rPr/>
        <w:t>使用SharedArrayBuffer减少数据拷贝</w:t>
      </w:r>
    </w:p>
    <w:p>
      <w:pPr>
        <w:numPr>
          <w:ilvl w:val="0"/>
          <w:numId w:val="2"/>
        </w:numPr>
        <w:jc w:val="left"/>
      </w:pPr>
      <w:r>
        <w:rPr/>
        <w:t>采用Web Worker并行计算</w:t>
      </w:r>
    </w:p>
    <w:p>
      <w:pPr>
        <w:numPr>
          <w:ilvl w:val="0"/>
          <w:numId w:val="2"/>
        </w:numPr>
        <w:jc w:val="left"/>
      </w:pPr>
      <w:r>
        <w:rPr/>
        <w:t>应用SIMD指令集加速矩阵运算</w:t>
      </w:r>
    </w:p>
    <w:p>
      <w:pPr>
        <w:numPr>
          <w:ilvl w:val="0"/>
          <w:numId w:val="2"/>
        </w:numPr>
        <w:jc w:val="left"/>
      </w:pPr>
      <w:r>
        <w:rPr/>
        <w:t>实现增量式网格更新</w:t>
      </w:r>
    </w:p>
    <w:p>
      <w:pPr>
        <w:jc w:val="left"/>
      </w:pPr>
      <w:r>
        <w:rPr/>
        <w:t>性能对比数据显示，优化后的WASM几何操作性能已接近本地原生代码水平。</w:t>
      </w:r>
    </w:p>
    <w:p>
      <w:pPr>
        <w:pStyle w:val="5"/>
        <w:jc w:val="left"/>
      </w:pPr>
      <w:r>
        <w:rPr/>
        <w:t>3.4 数据架构</w:t>
      </w:r>
    </w:p>
    <w:p>
      <w:pPr>
        <w:jc w:val="left"/>
      </w:pPr>
      <w:r>
        <w:rPr>
          <w:b/>
          <w:bCs/>
        </w:rPr>
        <w:t>（1）车型本体库</w:t>
      </w:r>
    </w:p>
    <w:p>
      <w:pPr>
        <w:jc w:val="left"/>
      </w:pPr>
      <w:r>
        <w:rPr/>
        <w:t>内置8类车型（微型车/紧凑级/中型车/中大型/SUV/MPV/跑车/蔚来），每车包含21个baseParams、颜色及4张预设视角图像。</w:t>
      </w:r>
    </w:p>
    <w:p>
      <w:pPr>
        <w:jc w:val="left"/>
      </w:pPr>
      <w:r>
        <w:rPr>
          <w:b/>
          <w:bCs/>
        </w:rPr>
        <w:t>（2）参数依赖管理</w:t>
      </w:r>
    </w:p>
    <w:p>
      <w:pPr>
        <w:jc w:val="left"/>
      </w:pPr>
      <w:r>
        <w:rPr/>
        <w:t>21参数通过DAG（有向无环图）组织依赖关系：基础尺寸参数 → 硬点坐标 → 侧视轮廓12关键点 → 顶宽轮廓9控制点 → 轮拱区域 → 完整网格。</w:t>
      </w:r>
    </w:p>
    <w:p>
      <w:pPr>
        <w:jc w:val="left"/>
      </w:pPr>
      <w:r>
        <w:rPr>
          <w:b/>
          <w:bCs/>
        </w:rPr>
        <w:t>（3）工业知识图谱</w:t>
      </w:r>
    </w:p>
    <w:p>
      <w:pPr>
        <w:jc w:val="left"/>
      </w:pPr>
      <w:r>
        <w:rPr/>
        <w:t>构建包含标准化零部件与装配关系的知识图谱，支持上下文感知的模型生成。</w:t>
      </w:r>
    </w:p>
    <w:p>
      <w:pPr>
        <w:pStyle w:val="4"/>
        <w:jc w:val="left"/>
      </w:pPr>
      <w:r>
        <w:rPr/>
        <w:t>四、算法引擎支持策略</w:t>
      </w:r>
    </w:p>
    <w:p>
      <w:pPr>
        <w:pStyle w:val="5"/>
        <w:jc w:val="left"/>
      </w:pPr>
      <w:r>
        <w:rPr/>
        <w:t>4.1 参数化建模引擎（M-01）</w:t>
      </w:r>
    </w:p>
    <w:p>
      <w:pPr>
        <w:jc w:val="left"/>
      </w:pPr>
      <w:r>
        <w:rPr>
          <w:b/>
          <w:bCs/>
        </w:rPr>
        <w:t>核心算法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主车身：截面扫掠（24段车长方向 × 24段圆周方向）</w:t>
      </w:r>
    </w:p>
    <w:p>
      <w:pPr>
        <w:numPr>
          <w:ilvl w:val="0"/>
          <w:numId w:val="2"/>
        </w:numPr>
        <w:jc w:val="left"/>
      </w:pPr>
      <w:r>
        <w:rPr/>
        <w:t>截面形状：超椭圆 + 修形（上窄下宽、肩部最宽）</w:t>
      </w:r>
    </w:p>
    <w:p>
      <w:pPr>
        <w:numPr>
          <w:ilvl w:val="0"/>
          <w:numId w:val="2"/>
        </w:numPr>
        <w:jc w:val="left"/>
      </w:pPr>
      <w:r>
        <w:rPr/>
        <w:t>各部件分别构造后通过trimesh.util.concatenate组装</w:t>
      </w:r>
    </w:p>
    <w:p>
      <w:pPr>
        <w:jc w:val="left"/>
      </w:pPr>
      <w:r>
        <w:rPr>
          <w:b/>
          <w:bCs/>
        </w:rPr>
        <w:t>性能指标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网格规模：~10K顶点（车壳）+ ~5K（4轮+辐条）= ~15K</w:t>
      </w:r>
    </w:p>
    <w:p>
      <w:pPr>
        <w:numPr>
          <w:ilvl w:val="0"/>
          <w:numId w:val="2"/>
        </w:numPr>
        <w:jc w:val="left"/>
      </w:pPr>
      <w:r>
        <w:rPr/>
        <w:t>单次生成耗时：&lt;200ms（CPU）</w:t>
      </w:r>
    </w:p>
    <w:p>
      <w:pPr>
        <w:numPr>
          <w:ilvl w:val="0"/>
          <w:numId w:val="2"/>
        </w:numPr>
        <w:jc w:val="left"/>
      </w:pPr>
      <w:r>
        <w:rPr/>
        <w:t>参数联动响应：&lt;1s（端到端）</w:t>
      </w:r>
    </w:p>
    <w:p>
      <w:pPr>
        <w:jc w:val="left"/>
      </w:pPr>
      <w:r>
        <w:rPr>
          <w:b/>
          <w:bCs/>
        </w:rPr>
        <w:t>算法优化方向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增量式网格更新：仅重新计算变更参数影响的局部区域</w:t>
      </w:r>
    </w:p>
    <w:p>
      <w:pPr>
        <w:numPr>
          <w:ilvl w:val="0"/>
          <w:numId w:val="2"/>
        </w:numPr>
        <w:jc w:val="left"/>
      </w:pPr>
      <w:r>
        <w:rPr/>
        <w:t>并行计算：多个独立部件（轮、灯、格栅）可并行生成</w:t>
      </w:r>
    </w:p>
    <w:p>
      <w:pPr>
        <w:numPr>
          <w:ilvl w:val="0"/>
          <w:numId w:val="2"/>
        </w:numPr>
        <w:jc w:val="left"/>
      </w:pPr>
      <w:r>
        <w:rPr/>
        <w:t>缓存策略：相同参数组合的结果直接复用</w:t>
      </w:r>
    </w:p>
    <w:p>
      <w:pPr>
        <w:pStyle w:val="5"/>
        <w:jc w:val="left"/>
      </w:pPr>
      <w:r>
        <w:rPr/>
        <w:t>4.2 AI优化引擎（M-03）：算法演进路线</w:t>
      </w:r>
    </w:p>
    <w:p>
      <w:pPr>
        <w:jc w:val="left"/>
      </w:pPr>
      <w:r>
        <w:rPr/>
        <w:t>EVOLUTION AI的曲面优化算法采用分阶段演进策略：</w:t>
      </w:r>
    </w:p>
    <w:p>
      <w:pPr>
        <w:jc w:val="left"/>
      </w:pPr>
      <w:r>
        <w:rPr>
          <w:b/>
          <w:bCs/>
        </w:rPr>
        <w:t>阶段一（MVP，当前）：模拟退火（Simulated Annealing）</w:t>
      </w:r>
    </w:p>
    <w:p>
      <w:pPr>
        <w:numPr>
          <w:ilvl w:val="0"/>
          <w:numId w:val="2"/>
        </w:numPr>
        <w:jc w:val="left"/>
      </w:pPr>
      <w:r>
        <w:rPr/>
        <w:t>优势：简单稳定、易实现、能跳出局部最优</w:t>
      </w:r>
    </w:p>
    <w:p>
      <w:pPr>
        <w:numPr>
          <w:ilvl w:val="0"/>
          <w:numId w:val="2"/>
        </w:numPr>
        <w:jc w:val="left"/>
      </w:pPr>
      <w:r>
        <w:rPr/>
        <w:t>劣势：收敛速度较慢</w:t>
      </w:r>
    </w:p>
    <w:p>
      <w:pPr>
        <w:numPr>
          <w:ilvl w:val="0"/>
          <w:numId w:val="2"/>
        </w:numPr>
        <w:jc w:val="left"/>
      </w:pPr>
      <w:r>
        <w:rPr/>
        <w:t>性能：150次迭代&lt;30秒，改进幅度≥20%</w:t>
      </w:r>
    </w:p>
    <w:p>
      <w:pPr>
        <w:numPr>
          <w:ilvl w:val="0"/>
          <w:numId w:val="2"/>
        </w:numPr>
        <w:jc w:val="left"/>
      </w:pPr>
      <w:r>
        <w:rPr/>
        <w:t>适用：MVP阶段的快速验证</w:t>
      </w:r>
    </w:p>
    <w:p>
      <w:pPr>
        <w:jc w:val="left"/>
      </w:pPr>
      <w:r>
        <w:rPr>
          <w:b/>
          <w:bCs/>
        </w:rPr>
        <w:t>阶段二（v2.0，规划）：遗传算法（Genetic Algorithm）+ 贝叶斯优化（Bayesian Optimization）</w:t>
      </w:r>
    </w:p>
    <w:p>
      <w:pPr>
        <w:numPr>
          <w:ilvl w:val="0"/>
          <w:numId w:val="2"/>
        </w:numPr>
        <w:jc w:val="left"/>
      </w:pPr>
      <w:r>
        <w:rPr/>
        <w:t>遗传算法优势：全局搜索能力强</w:t>
      </w:r>
    </w:p>
    <w:p>
      <w:pPr>
        <w:numPr>
          <w:ilvl w:val="0"/>
          <w:numId w:val="2"/>
        </w:numPr>
        <w:jc w:val="left"/>
      </w:pPr>
      <w:r>
        <w:rPr/>
        <w:t>贝叶斯优化优势：样本效率高，适用于高维设计问题</w:t>
      </w:r>
    </w:p>
    <w:p>
      <w:pPr>
        <w:numPr>
          <w:ilvl w:val="0"/>
          <w:numId w:val="2"/>
        </w:numPr>
        <w:jc w:val="left"/>
      </w:pPr>
      <w:r>
        <w:rPr/>
        <w:t>MIT研究显示，改进的贝叶斯优化方法在工程基准测试中比常用方法快10到100倍</w:t>
      </w:r>
    </w:p>
    <w:p>
      <w:pPr>
        <w:numPr>
          <w:ilvl w:val="0"/>
          <w:numId w:val="2"/>
        </w:numPr>
        <w:jc w:val="left"/>
      </w:pPr>
      <w:r>
        <w:rPr/>
        <w:t>适用：需要更优解且评估成本较高的场景</w:t>
      </w:r>
    </w:p>
    <w:p>
      <w:pPr>
        <w:jc w:val="left"/>
      </w:pPr>
      <w:r>
        <w:rPr>
          <w:b/>
          <w:bCs/>
        </w:rPr>
        <w:t>阶段三（v3.0+，长期）：神经代理模型（Neural Surrogate Model）</w:t>
      </w:r>
    </w:p>
    <w:p>
      <w:pPr>
        <w:numPr>
          <w:ilvl w:val="0"/>
          <w:numId w:val="2"/>
        </w:numPr>
        <w:jc w:val="left"/>
      </w:pPr>
      <w:r>
        <w:rPr/>
        <w:t>原理：用神经网络代理昂贵的物理仿真或几何评估</w:t>
      </w:r>
    </w:p>
    <w:p>
      <w:pPr>
        <w:numPr>
          <w:ilvl w:val="0"/>
          <w:numId w:val="2"/>
        </w:numPr>
        <w:jc w:val="left"/>
      </w:pPr>
      <w:r>
        <w:rPr/>
        <w:t>优势：推理速度极快（毫秒级），支持实时反馈</w:t>
      </w:r>
    </w:p>
    <w:p>
      <w:pPr>
        <w:numPr>
          <w:ilvl w:val="0"/>
          <w:numId w:val="2"/>
        </w:numPr>
        <w:jc w:val="left"/>
      </w:pPr>
      <w:r>
        <w:rPr/>
        <w:t>训练：基于历史优化数据训练代理模型</w:t>
      </w:r>
    </w:p>
    <w:p>
      <w:pPr>
        <w:numPr>
          <w:ilvl w:val="0"/>
          <w:numId w:val="2"/>
        </w:numPr>
        <w:jc w:val="left"/>
      </w:pPr>
      <w:r>
        <w:rPr/>
        <w:t>适用：大规模设计空间探索与实时优化</w:t>
      </w:r>
    </w:p>
    <w:p>
      <w:pPr>
        <w:jc w:val="left"/>
      </w:pPr>
      <w:r>
        <w:rPr>
          <w:b/>
          <w:bCs/>
        </w:rPr>
        <w:t>算法选择决策矩阵</w:t>
      </w:r>
      <w:r>
        <w:rPr/>
        <w:t>：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场景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推荐算法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理由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MVP快速验证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模拟退火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实现简单、稳定可靠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高精度曲面优化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贝叶斯优化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样本效率高、收敛快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大规模设计空间探索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遗传算法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全局搜索能力强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实时交互式优化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神经代理模型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推理速度快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多目标优化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混合策略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平衡相互冲突的设计目标</w:t>
            </w:r>
          </w:p>
        </w:tc>
      </w:tr>
    </w:tbl>
    <w:p>
      <w:pPr>
        <w:pStyle w:val="5"/>
        <w:jc w:val="left"/>
      </w:pPr>
      <w:r>
        <w:rPr/>
        <w:t>4.3 质量评估引擎（M-04）</w:t>
      </w:r>
    </w:p>
    <w:p>
      <w:pPr>
        <w:jc w:val="left"/>
      </w:pPr>
      <w:r>
        <w:rPr>
          <w:b/>
          <w:bCs/>
        </w:rPr>
        <w:t>核心算法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G0连续：位置连续检查（100%）</w:t>
      </w:r>
    </w:p>
    <w:p>
      <w:pPr>
        <w:numPr>
          <w:ilvl w:val="0"/>
          <w:numId w:val="2"/>
        </w:numPr>
        <w:jc w:val="left"/>
      </w:pPr>
      <w:r>
        <w:rPr/>
        <w:t>G1连续：法向夹角计算（&lt;5°，&gt;85%）</w:t>
      </w:r>
    </w:p>
    <w:p>
      <w:pPr>
        <w:numPr>
          <w:ilvl w:val="0"/>
          <w:numId w:val="2"/>
        </w:numPr>
        <w:jc w:val="left"/>
      </w:pPr>
      <w:r>
        <w:rPr/>
        <w:t>G2连续：法向夹角计算（&lt;2°，&gt;85%）</w:t>
      </w:r>
    </w:p>
    <w:p>
      <w:pPr>
        <w:numPr>
          <w:ilvl w:val="0"/>
          <w:numId w:val="2"/>
        </w:numPr>
        <w:jc w:val="left"/>
      </w:pPr>
      <w:r>
        <w:rPr/>
        <w:t>反射线评分：曲率均匀度 + 平滑度（&gt;0.7）</w:t>
      </w:r>
    </w:p>
    <w:p>
      <w:pPr>
        <w:jc w:val="left"/>
      </w:pPr>
      <w:r>
        <w:rPr>
          <w:b/>
          <w:bCs/>
        </w:rPr>
        <w:t>算法优化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并行计算：多个评估指标可并行计算</w:t>
      </w:r>
    </w:p>
    <w:p>
      <w:pPr>
        <w:numPr>
          <w:ilvl w:val="0"/>
          <w:numId w:val="2"/>
        </w:numPr>
        <w:jc w:val="left"/>
      </w:pPr>
      <w:r>
        <w:rPr/>
        <w:t>增量评估：仅重新计算变更区域的质量指标</w:t>
      </w:r>
    </w:p>
    <w:p>
      <w:pPr>
        <w:numPr>
          <w:ilvl w:val="0"/>
          <w:numId w:val="2"/>
        </w:numPr>
        <w:jc w:val="left"/>
      </w:pPr>
      <w:r>
        <w:rPr/>
        <w:t>缓存结果：相同曲面的评估结果复用</w:t>
      </w:r>
    </w:p>
    <w:p>
      <w:pPr>
        <w:pStyle w:val="4"/>
        <w:jc w:val="left"/>
      </w:pPr>
      <w:r>
        <w:rPr/>
        <w:t>五、AI模型支持策略</w:t>
      </w:r>
    </w:p>
    <w:p>
      <w:pPr>
        <w:pStyle w:val="5"/>
        <w:jc w:val="left"/>
      </w:pPr>
      <w:r>
        <w:rPr/>
        <w:t>5.1 模型类型与选型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187"/>
        <w:gridCol w:w="2187"/>
        <w:gridCol w:w="3819"/>
        <w:gridCol w:w="2187"/>
      </w:tblGrid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模型类型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用途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推荐方案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部署方式</w:t>
            </w:r>
          </w:p>
        </w:tc>
      </w:tr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大语言模型（LLM）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自然语言参数输入、设计意图理解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/>
              <w:t>开源：DeepSeek-V3/Qwen；商用：GPT-4/Claude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API调用或本地部署</w:t>
            </w:r>
          </w:p>
        </w:tc>
      </w:tr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视觉语言模型（VLM）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2D草图→3D模型转换、设计方案排序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/>
              <w:t>CLIP系列、BLIP-2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API调用</w:t>
            </w:r>
          </w:p>
        </w:tc>
      </w:tr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几何深度学习模型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曲面生成、形状表示学习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/>
              <w:t>PointNet++、MeshCNN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本地推理</w:t>
            </w:r>
          </w:p>
        </w:tc>
      </w:tr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代理模型（Surrogate Model）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快速逼近物理仿真结果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/>
              <w:t>全连接神经网络（FCNN）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本地推理</w:t>
            </w:r>
          </w:p>
        </w:tc>
      </w:tr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生成式模型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批量概念方案生成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/>
              <w:t>扩散模型、GAN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GPU集群训练+推理</w:t>
            </w:r>
          </w:p>
        </w:tc>
      </w:tr>
    </w:tbl>
    <w:p>
      <w:pPr>
        <w:pStyle w:val="5"/>
        <w:jc w:val="left"/>
      </w:pPr>
      <w:r>
        <w:rPr/>
        <w:t>5.2 模型训练策略</w:t>
      </w:r>
    </w:p>
    <w:p>
      <w:pPr>
        <w:jc w:val="left"/>
      </w:pPr>
      <w:r>
        <w:rPr>
          <w:b/>
          <w:bCs/>
        </w:rPr>
        <w:t>（1）数据来源</w:t>
      </w:r>
    </w:p>
    <w:p>
      <w:pPr>
        <w:numPr>
          <w:ilvl w:val="0"/>
          <w:numId w:val="2"/>
        </w:numPr>
        <w:jc w:val="left"/>
      </w:pPr>
      <w:r>
        <w:rPr/>
        <w:t>公开数据集：易车网、工信部公告、维基百科的车型数据</w:t>
      </w:r>
    </w:p>
    <w:p>
      <w:pPr>
        <w:numPr>
          <w:ilvl w:val="0"/>
          <w:numId w:val="2"/>
        </w:numPr>
        <w:jc w:val="left"/>
      </w:pPr>
      <w:r>
        <w:rPr/>
        <w:t>合成数据：通过参数化引擎生成海量标注数据</w:t>
      </w:r>
    </w:p>
    <w:p>
      <w:pPr>
        <w:numPr>
          <w:ilvl w:val="0"/>
          <w:numId w:val="2"/>
        </w:numPr>
        <w:jc w:val="left"/>
      </w:pPr>
      <w:r>
        <w:rPr/>
        <w:t>合作伙伴数据：与OEM合作获取脱敏设计数据</w:t>
      </w:r>
    </w:p>
    <w:p>
      <w:pPr>
        <w:jc w:val="left"/>
      </w:pPr>
      <w:r>
        <w:rPr>
          <w:b/>
          <w:bCs/>
        </w:rPr>
        <w:t>（2）训练流程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数据预处理</w:t>
      </w:r>
      <w:r>
        <w:rPr/>
        <w:t>：格式统一、去噪、标准化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预训练</w:t>
      </w:r>
      <w:r>
        <w:rPr/>
        <w:t>：在通用设计数据集上进行预训练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微调</w:t>
      </w:r>
      <w:r>
        <w:rPr/>
        <w:t>：在汽车造型专属数据上进行微调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验证</w:t>
      </w:r>
      <w:r>
        <w:rPr/>
        <w:t>：通过质量评估器自动验证模型输出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迭代</w:t>
      </w:r>
      <w:r>
        <w:rPr/>
        <w:t>：基于用户反馈持续优化</w:t>
      </w:r>
    </w:p>
    <w:p>
      <w:pPr>
        <w:jc w:val="left"/>
      </w:pPr>
      <w:r>
        <w:rPr>
          <w:b/>
          <w:bCs/>
        </w:rPr>
        <w:t>（3）模型更新机制</w:t>
      </w:r>
    </w:p>
    <w:p>
      <w:pPr>
        <w:numPr>
          <w:ilvl w:val="0"/>
          <w:numId w:val="2"/>
        </w:numPr>
        <w:jc w:val="left"/>
      </w:pPr>
      <w:r>
        <w:rPr/>
        <w:t>定期重训练（每月/每季度）</w:t>
      </w:r>
    </w:p>
    <w:p>
      <w:pPr>
        <w:numPr>
          <w:ilvl w:val="0"/>
          <w:numId w:val="2"/>
        </w:numPr>
        <w:jc w:val="left"/>
      </w:pPr>
      <w:r>
        <w:rPr/>
        <w:t>在线学习（用户交互数据反馈）</w:t>
      </w:r>
    </w:p>
    <w:p>
      <w:pPr>
        <w:numPr>
          <w:ilvl w:val="0"/>
          <w:numId w:val="2"/>
        </w:numPr>
        <w:jc w:val="left"/>
      </w:pPr>
      <w:r>
        <w:rPr/>
        <w:t>A/B测试验证新模型效果</w:t>
      </w:r>
    </w:p>
    <w:p>
      <w:pPr>
        <w:pStyle w:val="5"/>
        <w:jc w:val="left"/>
      </w:pPr>
      <w:r>
        <w:rPr/>
        <w:t>5.3 模型部署策略</w:t>
      </w:r>
    </w:p>
    <w:p>
      <w:pPr>
        <w:jc w:val="left"/>
      </w:pPr>
      <w:r>
        <w:rPr/>
        <w:t>参照工业AI的“云边端协同”最佳实践：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187"/>
        <w:gridCol w:w="3819"/>
        <w:gridCol w:w="2187"/>
        <w:gridCol w:w="2187"/>
      </w:tblGrid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部署位置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模型类型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延迟要求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硬件要求</w:t>
            </w:r>
          </w:p>
        </w:tc>
      </w:tr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云端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/>
              <w:t>大模型训练、批量推理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秒级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GPU集群</w:t>
            </w:r>
          </w:p>
        </w:tc>
      </w:tr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边缘（企业本地）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/>
              <w:t>优化模型、代理模型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毫秒级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工作站GPU</w:t>
            </w:r>
          </w:p>
        </w:tc>
      </w:tr>
      <w:tr>
        <w:tblPrEx/>
        <w:trPr>
          <w:trHeight w:val="396"/>
        </w:trPr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终端（浏览器）</w:t>
            </w:r>
          </w:p>
        </w:tc>
        <w:tc>
          <w:tcPr>
            <w:tcW w:w="3819" w:type="dxa"/>
            <w:vAlign w:val="top"/>
          </w:tcPr>
          <w:p>
            <w:pPr>
              <w:jc w:val="left"/>
            </w:pPr>
            <w:r>
              <w:rPr/>
              <w:t>轻量模型（TensorFlow.js/ONNX Runtime Web）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实时</w:t>
            </w:r>
          </w:p>
        </w:tc>
        <w:tc>
          <w:tcPr>
            <w:tcW w:w="2187" w:type="dxa"/>
            <w:vAlign w:val="top"/>
          </w:tcPr>
          <w:p>
            <w:pPr>
              <w:jc w:val="left"/>
            </w:pPr>
            <w:r>
              <w:rPr/>
              <w:t>WebGL GPU</w:t>
            </w:r>
          </w:p>
        </w:tc>
      </w:tr>
    </w:tbl>
    <w:p>
      <w:pPr>
        <w:jc w:val="left"/>
      </w:pPr>
      <w:r>
        <w:rPr>
          <w:b/>
          <w:bCs/>
        </w:rPr>
        <w:t>混合AI策略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即时运算（曲面优化推理）留在本地边缘端，保障实时响应</w:t>
      </w:r>
    </w:p>
    <w:p>
      <w:pPr>
        <w:numPr>
          <w:ilvl w:val="0"/>
          <w:numId w:val="2"/>
        </w:numPr>
        <w:jc w:val="left"/>
      </w:pPr>
      <w:r>
        <w:rPr/>
        <w:t>长期学习（模型训练与更新）放在云端，持续积累知识</w:t>
      </w:r>
    </w:p>
    <w:p>
      <w:pPr>
        <w:numPr>
          <w:ilvl w:val="0"/>
          <w:numId w:val="2"/>
        </w:numPr>
        <w:jc w:val="left"/>
      </w:pPr>
      <w:r>
        <w:rPr/>
        <w:t>74%的技术领袖偏好采用“边缘+云端”混合云架构</w:t>
      </w:r>
    </w:p>
    <w:p>
      <w:pPr>
        <w:pStyle w:val="4"/>
        <w:jc w:val="left"/>
      </w:pPr>
      <w:r>
        <w:rPr/>
        <w:t>六、部署与运维策略</w:t>
      </w:r>
    </w:p>
    <w:p>
      <w:pPr>
        <w:pStyle w:val="5"/>
        <w:jc w:val="left"/>
      </w:pPr>
      <w:r>
        <w:rPr/>
        <w:t>6.1 部署模式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部署模式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目标客户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优势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挑战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SaaS公有云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中小型设计机构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低门槛、按需付费、免运维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数据安全顾虑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私有化部署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大型OEM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数据安全、完全控制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高成本、需客户IT支持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混合部署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中大型企业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兼顾安全与弹性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运维复杂度高</w:t>
            </w:r>
          </w:p>
        </w:tc>
      </w:tr>
    </w:tbl>
    <w:p>
      <w:pPr>
        <w:pStyle w:val="5"/>
        <w:jc w:val="left"/>
      </w:pPr>
      <w:r>
        <w:rPr/>
        <w:t>6.2 容器化与编排</w:t>
      </w:r>
    </w:p>
    <w:p>
      <w:pPr>
        <w:numPr>
          <w:ilvl w:val="0"/>
          <w:numId w:val="2"/>
        </w:numPr>
        <w:jc w:val="left"/>
      </w:pPr>
      <w:r>
        <w:rPr/>
        <w:t>使用Docker容器化所有微服务</w:t>
      </w:r>
    </w:p>
    <w:p>
      <w:pPr>
        <w:numPr>
          <w:ilvl w:val="0"/>
          <w:numId w:val="2"/>
        </w:numPr>
        <w:jc w:val="left"/>
      </w:pPr>
      <w:r>
        <w:rPr/>
        <w:t>Kubernetes进行服务编排与自动扩缩容</w:t>
      </w:r>
    </w:p>
    <w:p>
      <w:pPr>
        <w:numPr>
          <w:ilvl w:val="0"/>
          <w:numId w:val="2"/>
        </w:numPr>
        <w:jc w:val="left"/>
      </w:pPr>
      <w:r>
        <w:rPr/>
        <w:t>Istio服务网格管理服务间通信</w:t>
      </w:r>
    </w:p>
    <w:p>
      <w:pPr>
        <w:pStyle w:val="5"/>
        <w:jc w:val="left"/>
      </w:pPr>
      <w:r>
        <w:rPr/>
        <w:t>6.3 监控与可观测性</w:t>
      </w:r>
    </w:p>
    <w:p>
      <w:pPr>
        <w:numPr>
          <w:ilvl w:val="0"/>
          <w:numId w:val="2"/>
        </w:numPr>
        <w:jc w:val="left"/>
      </w:pPr>
      <w:r>
        <w:rPr/>
        <w:t>性能监控：FPS、渲染耗时、API响应时间、内存占用</w:t>
      </w:r>
    </w:p>
    <w:p>
      <w:pPr>
        <w:numPr>
          <w:ilvl w:val="0"/>
          <w:numId w:val="2"/>
        </w:numPr>
        <w:jc w:val="left"/>
      </w:pPr>
      <w:r>
        <w:rPr/>
        <w:t>业务监控：优化任务数、质量评估通过率、用户活跃度</w:t>
      </w:r>
    </w:p>
    <w:p>
      <w:pPr>
        <w:numPr>
          <w:ilvl w:val="0"/>
          <w:numId w:val="2"/>
        </w:numPr>
        <w:jc w:val="left"/>
      </w:pPr>
      <w:r>
        <w:rPr/>
        <w:t>日志聚合：ELK Stack或Loki</w:t>
      </w:r>
    </w:p>
    <w:p>
      <w:pPr>
        <w:numPr>
          <w:ilvl w:val="0"/>
          <w:numId w:val="2"/>
        </w:numPr>
        <w:jc w:val="left"/>
      </w:pPr>
      <w:r>
        <w:rPr/>
        <w:t>告警机制：性能劣化、服务异常自动告警</w:t>
      </w:r>
    </w:p>
    <w:p>
      <w:pPr>
        <w:pStyle w:val="4"/>
        <w:jc w:val="left"/>
      </w:pPr>
      <w:r>
        <w:rPr/>
        <w:t>七、成本优化策略</w:t>
      </w:r>
    </w:p>
    <w:p>
      <w:pPr>
        <w:pStyle w:val="5"/>
        <w:jc w:val="left"/>
      </w:pPr>
      <w:r>
        <w:rPr/>
        <w:t>7.1 算力成本控制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策略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具体措施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预期节省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按需分配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根据负载动态调整GPU实例规格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30-50%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缓存复用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相同参数组合的结果直接复用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40-60%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模型量化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INT8/FP16量化降低推理成本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50-70%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批处理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合并多个优化请求批量处理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30-50%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边缘推理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将推理从云端移至本地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60-80%（带宽+API）</w:t>
            </w:r>
          </w:p>
        </w:tc>
      </w:tr>
    </w:tbl>
    <w:p>
      <w:pPr>
        <w:pStyle w:val="5"/>
        <w:jc w:val="left"/>
      </w:pPr>
      <w:r>
        <w:rPr/>
        <w:t>7.2 研发效率优化</w:t>
      </w:r>
    </w:p>
    <w:p>
      <w:pPr>
        <w:numPr>
          <w:ilvl w:val="0"/>
          <w:numId w:val="2"/>
        </w:numPr>
        <w:jc w:val="left"/>
      </w:pPr>
      <w:r>
        <w:rPr/>
        <w:t>模块化设计：算法模块可独立迭代，降低耦合成本</w:t>
      </w:r>
    </w:p>
    <w:p>
      <w:pPr>
        <w:numPr>
          <w:ilvl w:val="0"/>
          <w:numId w:val="2"/>
        </w:numPr>
        <w:jc w:val="left"/>
      </w:pPr>
      <w:r>
        <w:rPr/>
        <w:t>自动化测试：核心算法100%单元测试覆盖，减少回归成本</w:t>
      </w:r>
    </w:p>
    <w:p>
      <w:pPr>
        <w:numPr>
          <w:ilvl w:val="0"/>
          <w:numId w:val="2"/>
        </w:numPr>
        <w:jc w:val="left"/>
      </w:pPr>
      <w:r>
        <w:rPr/>
        <w:t>文档驱动：完整API文档与设计决策记录，降低知识传递成本</w:t>
      </w:r>
    </w:p>
    <w:p>
      <w:pPr>
        <w:pStyle w:val="4"/>
        <w:jc w:val="left"/>
      </w:pPr>
      <w:r>
        <w:rPr/>
        <w:t>八、总结</w:t>
      </w:r>
    </w:p>
    <w:p>
      <w:pPr>
        <w:jc w:val="left"/>
      </w:pPr>
      <w:r>
        <w:rPr/>
        <w:t xml:space="preserve">EVOLUTION AI的技术支持体系遵循 </w:t>
      </w:r>
      <w:r>
        <w:rPr>
          <w:b/>
          <w:bCs/>
        </w:rPr>
        <w:t>“硬件为基、软件为体、算法为魂、模型为智”</w:t>
      </w:r>
      <w:r>
        <w:rPr/>
        <w:t xml:space="preserve"> 的设计原则：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硬件层</w:t>
      </w:r>
      <w:r>
        <w:rPr/>
        <w:t>：采用“端-边-云”三级架构，云端训练、边缘推理、终端展示，实现算力与成本的平衡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软件层</w:t>
      </w:r>
      <w:r>
        <w:rPr/>
        <w:t>：基于微服务+WebAssembly+Three.js的云原生架构，保障跨平台部署与实时交互性能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算法层</w:t>
      </w:r>
      <w:r>
        <w:rPr/>
        <w:t>：从模拟退火到贝叶斯优化再到神经代理模型的分阶段演进路线，持续提升优化效率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模型层</w:t>
      </w:r>
      <w:r>
        <w:rPr/>
        <w:t>：融合LLM、VLM、几何深度学习与代理模型的多模型协同体系，覆盖从意图理解到曲面生成的全链路</w:t>
      </w:r>
    </w:p>
    <w:p>
      <w:pPr>
        <w:jc w:val="left"/>
      </w:pPr>
      <w:r>
        <w:rPr/>
        <w:t>这一体系确保了EVOLUTION AI能够在不同客户场景（SaaS公有云/私有化部署/混合部署）下灵活适配，同时保持核心算法引擎的持续迭代能力与成本竞争力。</w:t>
      </w:r>
    </w:p>
    <w:sectPr>
      <w:pgSz w:w="14706" w:h="16838" w:orient="portrait"/>
      <w:pgMar w:top="1440" w:right="46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abstractNum w:abstractNumId="5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(%4)"/>
      <w:pPr>
        <w:ind w:left="1680" w:hanging="420"/>
      </w:pPr>
      <w:rPr/>
    </w:lvl>
    <w:lvl w:ilvl="4" w:tentative="0">
      <w:start w:val="1"/>
      <w:numFmt w:val="decimalEnclosedCircleChinese"/>
      <w:lvlText w:val="%5"/>
      <w:pPr>
        <w:ind w:left="2100" w:hanging="420"/>
      </w:pPr>
      <w:rPr/>
    </w:lvl>
    <w:lvl w:ilvl="5" w:tentative="0">
      <w:start w:val="1"/>
      <w:numFmt w:val="decimal"/>
      <w:lvlText w:val="%6)"/>
      <w:pPr>
        <w:ind w:left="2520" w:hanging="420"/>
      </w:pPr>
      <w:rPr/>
    </w:lvl>
    <w:lvl w:ilvl="6" w:tentative="0">
      <w:start w:val="1"/>
      <w:numFmt w:val="lowerLetter"/>
      <w:lvlText w:val="%7)"/>
      <w:pPr>
        <w:ind w:left="2940" w:hanging="420"/>
      </w:pPr>
      <w:rPr/>
    </w:lvl>
    <w:lvl w:ilvl="7" w:tentative="0">
      <w:start w:val="1"/>
      <w:numFmt w:val="lowerRoman"/>
      <w:lvlText w:val="%8)"/>
      <w:pPr>
        <w:ind w:left="3360" w:hanging="420"/>
      </w:pPr>
      <w:rPr/>
    </w:lvl>
    <w:lvl w:ilvl="8" w:tentative="0">
      <w:start w:val="1"/>
      <w:numFmt w:val="upperLetter"/>
      <w:lvlText w:val="%9."/>
      <w:pPr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2026-06-27T11:16:00Z</dcterms:created>
  <dcterms:modified xsi:type="dcterms:W3CDTF">2026-06-27T11:16:00Z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