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EVOLUTION AI 项目ROI分析、运营方案与融资策略</w:t>
      </w:r>
    </w:p>
    <w:p>
      <w:pPr>
        <w:pStyle w:val="3"/>
        <w:jc w:val="left"/>
      </w:pPr>
      <w:r>
        <w:rPr/>
        <w:t>EVOLUTION AI 项目ROI分析、运营方案与融资策略</w:t>
      </w:r>
    </w:p>
    <w:p>
      <w:pPr>
        <w:pStyle w:val="4"/>
        <w:jc w:val="left"/>
      </w:pPr>
      <w:r>
        <w:rPr/>
        <w:t>一、市场背景与战略机遇</w:t>
      </w:r>
    </w:p>
    <w:p>
      <w:pPr>
        <w:pStyle w:val="5"/>
        <w:jc w:val="left"/>
      </w:pPr>
      <w:r>
        <w:rPr/>
        <w:t>1.1 市场规模与增长</w:t>
      </w:r>
    </w:p>
    <w:p>
      <w:pPr>
        <w:jc w:val="left"/>
      </w:pPr>
      <w:r>
        <w:rPr/>
        <w:t>EVOLUTION AI所处的AI工业设计软件与生成式设计市场正处于高速增长期：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AI工业设计市场</w:t>
      </w:r>
      <w:r>
        <w:rPr/>
        <w:t>：2025年全球规模64.5亿美元，2026年预计达83.5亿美元，CAGR达29.5%，2030年有望增长至232亿美元。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生成式设计软件市场</w:t>
      </w:r>
      <w:r>
        <w:rPr/>
        <w:t>：2025年规模26.6亿美元，2026年预计达31.6亿美元，CAGR为18.5%，2030年预计达56.4亿美元。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中国市场</w:t>
      </w:r>
      <w:r>
        <w:rPr/>
        <w:t>：全球AI驱动设计工具市场2025年销售额达766亿元，预计2032年达2455.9亿元，CAGR为18.2%。</w:t>
      </w:r>
    </w:p>
    <w:p>
      <w:pPr>
        <w:jc w:val="left"/>
      </w:pPr>
      <w:r>
        <w:rPr/>
        <w:t>在汽车行业，AI正在加速渗透。2026年已成为工业AI产品化元年。设序科技预计2025年订单超1亿元、营收接近1亿元，近三年CAGR超100%。九韶智能近期完成近亿元融资。行业已从“AI能不能用”进入“AI能用在哪里、能产生多大价值”的阶段。</w:t>
      </w:r>
    </w:p>
    <w:p>
      <w:pPr>
        <w:pStyle w:val="4"/>
        <w:jc w:val="left"/>
      </w:pPr>
      <w:r>
        <w:rPr/>
        <w:t>二、ROI分析</w:t>
      </w:r>
    </w:p>
    <w:p>
      <w:pPr>
        <w:pStyle w:val="5"/>
        <w:jc w:val="left"/>
      </w:pPr>
      <w:r>
        <w:rPr/>
        <w:t>2.1 投入成本测算（3年，初始团队15-20人）</w:t>
      </w:r>
    </w:p>
    <w:p>
      <w:pPr>
        <w:jc w:val="left"/>
      </w:pPr>
      <w:r>
        <w:rPr>
          <w:b/>
          <w:bCs/>
        </w:rPr>
        <w:t>初始投入（Year 0，启动期）</w:t>
      </w:r>
      <w:r>
        <w:rPr/>
        <w:t xml:space="preserve"> ：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成本项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金额（万元）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核心算法研发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300-500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21参数引擎、曲面生成、AI优化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前后端开发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200-400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FastAPI后端、Three.js前端、WebGL渲染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GPU算力与云基础设施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50-100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训练集群、推理服务、云存储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办公场地与设备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30-60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工位、工作站、测试设备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法务与知识产权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20-40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专利、商标、软件著作权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初始投入合计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600-1,100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>
          <w:b/>
          <w:bCs/>
        </w:rPr>
        <w:t>年度运营成本（Year 1-3）</w:t>
      </w:r>
      <w:r>
        <w:rPr/>
        <w:t xml:space="preserve"> ：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成本项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1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3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研发人力（15-30人）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400-600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600-900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900-1,500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算法、前后端、AI模型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销售与市场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150-300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300-500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500-800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展会、PR、渠道拓展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云基础设施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50-100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100-200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200-400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GPU实例、带宽、存储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办公与行政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50-80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80-120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120-180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场地、设备、差旅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年度运营成本合计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650-1,080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1,080-1,720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1,720-2,880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</w:p>
        </w:tc>
      </w:tr>
    </w:tbl>
    <w:p>
      <w:pPr>
        <w:pStyle w:val="5"/>
        <w:jc w:val="left"/>
      </w:pPr>
      <w:r>
        <w:rPr/>
        <w:t>2.2 收益预测</w:t>
      </w:r>
    </w:p>
    <w:p>
      <w:pPr>
        <w:jc w:val="left"/>
      </w:pPr>
      <w:r>
        <w:rPr>
          <w:b/>
          <w:bCs/>
        </w:rPr>
        <w:t>收入来源与预测（万元）</w:t>
      </w:r>
      <w:r>
        <w:rPr/>
        <w:t xml:space="preserve"> ：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收入来源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1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2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3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SaaS订阅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200-400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1,000-2,000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3,500-7,000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Starter/Professional/Enterprise三层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用量付费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50-150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400-800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1,500-3,000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AI优化、渲染、导出按次计费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实施与培训服务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50-100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200-400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500-1,000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企业部署、团队培训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价值分成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50-200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500-1,500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节省工程成本分成（试点阶段）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年度总收入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300-650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1,650-3,400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6,000-12,500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</w:p>
        </w:tc>
      </w:tr>
    </w:tbl>
    <w:p>
      <w:pPr>
        <w:jc w:val="left"/>
      </w:pPr>
      <w:r>
        <w:rPr/>
        <w:t>参考标杆：设序科技2025年订单预计超1亿元、营收接近1亿元；黑湖科技营收年增速超60%并已全面盈利。</w:t>
      </w:r>
    </w:p>
    <w:p>
      <w:pPr>
        <w:pStyle w:val="5"/>
        <w:jc w:val="left"/>
      </w:pPr>
      <w:r>
        <w:rPr/>
        <w:t>2.3 ROI核心指标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1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2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3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年度收入（万元）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300-650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1,650-3,400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6,000-12,500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年度运营成本（万元）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650-1,080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1,080-1,720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1,720-2,880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净利润（万元）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-430至-350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570-1,680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4,280-9,620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毛利率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60-70%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70-80%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75-85%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ARR（万元）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250-550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1,400-2,800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5,000-10,000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LTV/CAC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3-4x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8-12x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20-40x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累计净现金流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-430至-350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140-1,330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4,420-10,950</w:t>
            </w:r>
          </w:p>
        </w:tc>
      </w:tr>
    </w:tbl>
    <w:p>
      <w:pPr>
        <w:jc w:val="left"/>
      </w:pPr>
      <w:r>
        <w:rPr>
          <w:b/>
          <w:bCs/>
        </w:rPr>
        <w:t>投资回收期</w:t>
      </w:r>
      <w:r>
        <w:rPr/>
        <w:t>：约20-26个月（Year 2中期实现累计现金流回正）。</w:t>
      </w:r>
    </w:p>
    <w:p>
      <w:pPr>
        <w:jc w:val="left"/>
      </w:pPr>
      <w:r>
        <w:rPr>
          <w:b/>
          <w:bCs/>
        </w:rPr>
        <w:t>客户ROI（单客户视角）</w:t>
      </w:r>
      <w:r>
        <w:rPr/>
        <w:t xml:space="preserve"> ：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客户类型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年订阅费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年节省成本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ROI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OEM设计工作室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30-100万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300-1,000万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10-30x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减少油泥模型5-10次×$5万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Tier-1供应商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15-50万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150-500万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10-20x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加速提案、减少返工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设计咨询机构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6-20万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60-200万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10-15x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提升竞标成功率</w:t>
            </w:r>
          </w:p>
        </w:tc>
      </w:tr>
    </w:tbl>
    <w:p>
      <w:pPr>
        <w:jc w:val="left"/>
      </w:pPr>
      <w:r>
        <w:rPr/>
        <w:t>以OEM为例：每次油泥模型修改成本超$5万，EVOLUTION AI可将修改次数从10+次降至3-5次，每年节省油泥模型成本$25万-35万，外加工程变更减少80%带来的额外节省。</w:t>
      </w:r>
    </w:p>
    <w:p>
      <w:pPr>
        <w:pStyle w:val="4"/>
        <w:jc w:val="left"/>
      </w:pPr>
      <w:r>
        <w:rPr/>
        <w:t>三、运营方案</w:t>
      </w:r>
    </w:p>
    <w:p>
      <w:pPr>
        <w:pStyle w:val="5"/>
        <w:jc w:val="left"/>
      </w:pPr>
      <w:r>
        <w:rPr/>
        <w:t>3.1 运营总体策略</w:t>
      </w:r>
    </w:p>
    <w:p>
      <w:pPr>
        <w:jc w:val="left"/>
      </w:pPr>
      <w:r>
        <w:rPr/>
        <w:t xml:space="preserve">EVOLUTION AI的运营体系遵循 </w:t>
      </w:r>
      <w:r>
        <w:rPr>
          <w:b/>
          <w:bCs/>
        </w:rPr>
        <w:t>“产品驱动增长（PLG）+ 销售驱动增长（SLG）”双轮驱动</w:t>
      </w:r>
      <w:r>
        <w:rPr/>
        <w:t xml:space="preserve"> 模式，分三个阶段推进。</w:t>
      </w:r>
    </w:p>
    <w:p>
      <w:pPr>
        <w:pStyle w:val="5"/>
        <w:jc w:val="left"/>
      </w:pPr>
      <w:r>
        <w:rPr/>
        <w:t>3.2 第一阶段：冷启动与标杆验证（0-12个月）</w:t>
      </w:r>
    </w:p>
    <w:p>
      <w:pPr>
        <w:jc w:val="left"/>
      </w:pPr>
      <w:r>
        <w:rPr>
          <w:b/>
          <w:bCs/>
        </w:rPr>
        <w:t>3.2.1 产品运营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种子用户计划</w:t>
      </w:r>
      <w:r>
        <w:rPr/>
        <w:t>：招募5-10家OEM/Tier-1设计团队作为种子用户，提供6个月免费POC，换取深度使用反馈与案例授权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快速迭代机制</w:t>
      </w:r>
      <w:r>
        <w:rPr/>
        <w:t>：每2周发布一个内部版本，收集用户反馈后72小时内响应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Demo资产沉淀</w:t>
      </w:r>
      <w:r>
        <w:rPr/>
        <w:t>：将每个POC项目的优化数据（曲面优化前后对比、效率提升数据）转化为可复用的销售素材</w:t>
      </w:r>
    </w:p>
    <w:p>
      <w:pPr>
        <w:jc w:val="left"/>
      </w:pPr>
      <w:r>
        <w:rPr>
          <w:b/>
          <w:bCs/>
        </w:rPr>
        <w:t>3.2.2 内容运营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技术博客</w:t>
      </w:r>
      <w:r>
        <w:rPr/>
        <w:t>：每周发布1-2篇技术文章（曲面生成算法、AI优化原理、行业痛点解析）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视频案例</w:t>
      </w:r>
      <w:r>
        <w:rPr/>
        <w:t>：制作3-5个90秒短视频，展示“参数→整车→AI优化→质量报告”完整流程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行业白皮书</w:t>
      </w:r>
      <w:r>
        <w:rPr/>
        <w:t>：发布《AI驱动汽车A级曲面开发白皮书》，建立行业思想领导力</w:t>
      </w:r>
    </w:p>
    <w:p>
      <w:pPr>
        <w:jc w:val="left"/>
      </w:pPr>
      <w:r>
        <w:rPr>
          <w:b/>
          <w:bCs/>
        </w:rPr>
        <w:t>3.2.3 渠道运营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行业展会</w:t>
      </w:r>
      <w:r>
        <w:rPr/>
        <w:t>：重点参加上海车展、中国汽车工程学会年会、北京/上海国际汽车设计论坛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行业协会</w:t>
      </w:r>
      <w:r>
        <w:rPr/>
        <w:t>：加入中国汽车工程学会、中国工业设计协会，参与标准制定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高校合作</w:t>
      </w:r>
      <w:r>
        <w:rPr/>
        <w:t>：与同济大学、湖南大学等汽车设计强校建立联合实验室</w:t>
      </w:r>
    </w:p>
    <w:p>
      <w:pPr>
        <w:jc w:val="left"/>
      </w:pPr>
      <w:r>
        <w:rPr>
          <w:b/>
          <w:bCs/>
        </w:rPr>
        <w:t>3.2.4 客户成功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专属客户经理制</w:t>
      </w:r>
      <w:r>
        <w:rPr/>
        <w:t>：每个付费客户配备1名客户成功经理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季度价值回顾</w:t>
      </w:r>
      <w:r>
        <w:rPr/>
        <w:t>：每季度向客户交付《价值交付报告》，量化设计周期缩短、成本节省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快速响应SLA</w:t>
      </w:r>
      <w:r>
        <w:rPr/>
        <w:t>：关键问题4小时内响应、24小时内解决</w:t>
      </w:r>
    </w:p>
    <w:p>
      <w:pPr>
        <w:pStyle w:val="5"/>
        <w:jc w:val="left"/>
      </w:pPr>
      <w:r>
        <w:rPr/>
        <w:t>3.3 第二阶段：规模化扩张（12-24个月）</w:t>
      </w:r>
    </w:p>
    <w:p>
      <w:pPr>
        <w:jc w:val="left"/>
      </w:pPr>
      <w:r>
        <w:rPr>
          <w:b/>
          <w:bCs/>
        </w:rPr>
        <w:t>3.3.1 产品运营升级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产品矩阵扩展</w:t>
      </w:r>
      <w:r>
        <w:rPr/>
        <w:t>：从单一造型平台扩展为“造型+工程”双平台（新增工程数据交付模块）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模板库建设</w:t>
      </w:r>
      <w:r>
        <w:rPr/>
        <w:t>：积累50+品牌DNA参数模板，形成行业标准库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社区化运营</w:t>
      </w:r>
      <w:r>
        <w:rPr/>
        <w:t>：建立设计师社区，支持模板分享、作品展示、技术讨论</w:t>
      </w:r>
    </w:p>
    <w:p>
      <w:pPr>
        <w:jc w:val="left"/>
      </w:pPr>
      <w:r>
        <w:rPr>
          <w:b/>
          <w:bCs/>
        </w:rPr>
        <w:t>3.3.2 销售体系搭建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直销团队</w:t>
      </w:r>
      <w:r>
        <w:rPr/>
        <w:t>：组建5-10人销售团队，聚焦TOP20中国OEM和TOP30 Tier-1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渠道伙伴计划</w:t>
      </w:r>
      <w:r>
        <w:rPr/>
        <w:t>：签约5-10家系统集成商和设计咨询机构作为渠道伙伴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合作伙伴分级</w:t>
      </w:r>
      <w:r>
        <w:rPr/>
        <w:t>：铂金/黄金/白银三级，提供不同层级的技术支持与分润比例</w:t>
      </w:r>
    </w:p>
    <w:p>
      <w:pPr>
        <w:jc w:val="left"/>
      </w:pPr>
      <w:r>
        <w:rPr>
          <w:b/>
          <w:bCs/>
        </w:rPr>
        <w:t>3.3.3 品牌建设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行业报告</w:t>
      </w:r>
      <w:r>
        <w:rPr/>
        <w:t>：联合第三方机构发布《中国汽车AI造型设计行业报告》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奖项申报</w:t>
      </w:r>
      <w:r>
        <w:rPr/>
        <w:t>：申报红点设计奖、iF设计奖、中国优秀工业设计奖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媒体关系</w:t>
      </w:r>
      <w:r>
        <w:rPr/>
        <w:t>：与36氪、动点科技、汽车之家等建立常态化内容合作</w:t>
      </w:r>
    </w:p>
    <w:p>
      <w:pPr>
        <w:jc w:val="left"/>
      </w:pPr>
      <w:r>
        <w:rPr>
          <w:b/>
          <w:bCs/>
        </w:rPr>
        <w:t>3.3.4 国际化准备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英文产品化</w:t>
      </w:r>
      <w:r>
        <w:rPr/>
        <w:t>：完成UI/UX、文档、营销材料的英文版本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海外市场研究</w:t>
      </w:r>
      <w:r>
        <w:rPr/>
        <w:t>：针对欧洲（德国、英国）和北美市场进行需求调研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合规准备</w:t>
      </w:r>
      <w:r>
        <w:rPr/>
        <w:t>：完成GDPR合规、美国出口管制评估</w:t>
      </w:r>
    </w:p>
    <w:p>
      <w:pPr>
        <w:pStyle w:val="5"/>
        <w:jc w:val="left"/>
      </w:pPr>
      <w:r>
        <w:rPr/>
        <w:t>3.4 第三阶段：生态构建（24-36个月）</w:t>
      </w:r>
    </w:p>
    <w:p>
      <w:pPr>
        <w:jc w:val="left"/>
      </w:pPr>
      <w:r>
        <w:rPr>
          <w:b/>
          <w:bCs/>
        </w:rPr>
        <w:t>3.4.1 平台生态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开放API</w:t>
      </w:r>
      <w:r>
        <w:rPr/>
        <w:t>：开放平台API，允许第三方开发者接入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插件市场</w:t>
      </w:r>
      <w:r>
        <w:rPr/>
        <w:t>：建立插件与应用市场，支持第三方开发者上架工具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数据飞轮</w:t>
      </w:r>
      <w:r>
        <w:rPr/>
        <w:t>：建立“更多用户→更多数据→更好模型→更多用户”的正循环</w:t>
      </w:r>
    </w:p>
    <w:p>
      <w:pPr>
        <w:jc w:val="left"/>
      </w:pPr>
      <w:r>
        <w:rPr>
          <w:b/>
          <w:bCs/>
        </w:rPr>
        <w:t>3.4.2 全球运营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海外办公室</w:t>
      </w:r>
      <w:r>
        <w:rPr/>
        <w:t>：在德国/英国设立欧洲办事处，在美国设立北美办事处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本地化支持</w:t>
      </w:r>
      <w:r>
        <w:rPr/>
        <w:t>：提供多语言产品、本地化定价、本地化技术支持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全球标杆客户</w:t>
      </w:r>
      <w:r>
        <w:rPr/>
        <w:t>：签约2-3家国际OEM作为全球标杆</w:t>
      </w:r>
    </w:p>
    <w:p>
      <w:pPr>
        <w:pStyle w:val="5"/>
        <w:jc w:val="left"/>
      </w:pPr>
      <w:r>
        <w:rPr/>
        <w:t>3.5 运营关键指标（OKR）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维度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1目标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2目标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Year 3目标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付费客户数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10-20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50-100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150-300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ARR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$0.5-1M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$3-6M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$10-20M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客户留存率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≥85%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≥90%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≥92%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NPS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≥40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≥50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≥55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月活用户（MAU）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50-100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200-500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500-1,000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内容产出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50+文章/年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100+文章/年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150+文章/年</w:t>
            </w:r>
          </w:p>
        </w:tc>
      </w:tr>
    </w:tbl>
    <w:p>
      <w:pPr>
        <w:pStyle w:val="4"/>
        <w:jc w:val="left"/>
      </w:pPr>
      <w:r>
        <w:rPr/>
        <w:t>四、融资策略</w:t>
      </w:r>
    </w:p>
    <w:p>
      <w:pPr>
        <w:pStyle w:val="5"/>
        <w:jc w:val="left"/>
      </w:pPr>
      <w:r>
        <w:rPr/>
        <w:t>4.1 融资背景与行业参照</w:t>
      </w:r>
    </w:p>
    <w:p>
      <w:pPr>
        <w:jc w:val="left"/>
      </w:pPr>
      <w:r>
        <w:rPr/>
        <w:t>工业AI软件领域融资持续活跃：基点起源近半年完成3轮数亿元融资；九韶智能完成近亿元融资；设序科技一年内完成三轮融资、累计超亿元；黑湖科技完成近10亿元D轮融资、估值超70亿元。EVOLUTION AI（Crunchbase显示已获种子轮融资，投资方包括AI Seed和Firstminute Capital）正处于行业融资窗口期。</w:t>
      </w:r>
    </w:p>
    <w:p>
      <w:pPr>
        <w:pStyle w:val="5"/>
        <w:jc w:val="left"/>
      </w:pPr>
      <w:r>
        <w:rPr/>
        <w:t>4.2 融资轮次规划</w:t>
      </w:r>
    </w:p>
    <w:tbl>
      <w:tblPr>
        <w:tblStyle w:val="9"/>
        <w:tblW w:w="100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70"/>
        <w:gridCol w:w="1670"/>
        <w:gridCol w:w="1670"/>
        <w:gridCol w:w="1670"/>
        <w:gridCol w:w="1670"/>
        <w:gridCol w:w="1670"/>
      </w:tblGrid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轮次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融资金额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投前估值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资金用途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关键里程碑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种子轮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rStyle w:val="13"/>
              </w:rPr>
              <w:t>✅</w:t>
            </w:r>
            <w:r>
              <w:rPr/>
              <w:t>已完成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-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初始产品开发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MVP验证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天使轮/Pre-A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Year 1 Q1-Q2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$1-2M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$5-10M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团队扩张、产品完善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5-10个POC客户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A轮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Year 1 Q3-Q4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$3-5M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$15-30M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商业化推进、市场拓展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10-20个付费客户，ARR $0.5-1M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B轮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Year 2 Q3-Q4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$10-20M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$50-100M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规模化扩张、国际化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50-100个客户，ARR $3-6M</w:t>
            </w:r>
          </w:p>
        </w:tc>
      </w:tr>
      <w:tr>
        <w:tblPrEx/>
        <w:trPr>
          <w:trHeight w:val="396"/>
        </w:trPr>
        <w:tc>
          <w:tcPr>
            <w:tcW w:w="167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C轮+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Year 3+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$30-50M+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$150-300M+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生态构建、全球扩张</w:t>
            </w:r>
          </w:p>
        </w:tc>
        <w:tc>
          <w:tcPr>
            <w:tcW w:w="1670" w:type="dxa"/>
            <w:vAlign w:val="top"/>
          </w:tcPr>
          <w:p>
            <w:pPr>
              <w:jc w:val="left"/>
            </w:pPr>
            <w:r>
              <w:rPr/>
              <w:t>150-300个客户，ARR $10-20M</w:t>
            </w:r>
          </w:p>
        </w:tc>
      </w:tr>
    </w:tbl>
    <w:p>
      <w:pPr>
        <w:pStyle w:val="5"/>
        <w:jc w:val="left"/>
      </w:pPr>
      <w:r>
        <w:rPr/>
        <w:t>4.3 目标投资人类别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4903"/>
        <w:gridCol w:w="2828"/>
      </w:tblGrid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投资人类型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代表机构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价值主张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产业资本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车企CVC（蔚来资本、吉利科技、宝马i Ventures）、Tier-1战投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产业资源、标杆客户、场景验证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财务VC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高瓴创投、红杉中国、IDG资本、蓝驰创投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资本实力、投后赋能、品牌背书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国家队/产业基金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安徽省投资集团、上海科创投、国科投资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政策资源、合规背书、长期资本</w:t>
            </w:r>
          </w:p>
        </w:tc>
      </w:tr>
      <w:tr>
        <w:tblPrEx/>
        <w:trPr>
          <w:trHeight w:val="396"/>
        </w:trPr>
        <w:tc>
          <w:tcPr>
            <w:tcW w:w="2828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战略投资人</w:t>
            </w:r>
          </w:p>
        </w:tc>
        <w:tc>
          <w:tcPr>
            <w:tcW w:w="4903" w:type="dxa"/>
            <w:vAlign w:val="top"/>
          </w:tcPr>
          <w:p>
            <w:pPr>
              <w:jc w:val="left"/>
            </w:pPr>
            <w:r>
              <w:rPr/>
              <w:t>达索系统、Autodesk、西门子</w:t>
            </w:r>
          </w:p>
        </w:tc>
        <w:tc>
          <w:tcPr>
            <w:tcW w:w="2828" w:type="dxa"/>
            <w:vAlign w:val="top"/>
          </w:tcPr>
          <w:p>
            <w:pPr>
              <w:jc w:val="left"/>
            </w:pPr>
            <w:r>
              <w:rPr/>
              <w:t>技术协同、渠道整合、生态互补</w:t>
            </w:r>
          </w:p>
        </w:tc>
      </w:tr>
    </w:tbl>
    <w:p>
      <w:pPr>
        <w:pStyle w:val="5"/>
        <w:jc w:val="left"/>
      </w:pPr>
      <w:r>
        <w:rPr/>
        <w:t>4.4 融资路演核心叙事</w:t>
      </w:r>
    </w:p>
    <w:p>
      <w:pPr>
        <w:jc w:val="left"/>
      </w:pPr>
      <w:r>
        <w:rPr>
          <w:b/>
          <w:bCs/>
        </w:rPr>
        <w:t>Value Proposition</w:t>
      </w:r>
      <w:r>
        <w:rPr/>
        <w:t>：EVOLUTION AI是</w:t>
      </w:r>
      <w:r>
        <w:rPr>
          <w:b/>
          <w:bCs/>
        </w:rPr>
        <w:t>全球首个“参数→曲面→质量→交付”端到端的AI汽车造型平台</w:t>
      </w:r>
      <w:r>
        <w:rPr/>
        <w:t>，将A级曲面开发周期从3-4周压缩至1-2周，减少80%的后期工程变更。</w:t>
      </w:r>
    </w:p>
    <w:p>
      <w:pPr>
        <w:jc w:val="left"/>
      </w:pPr>
      <w:r>
        <w:rPr>
          <w:b/>
          <w:bCs/>
        </w:rPr>
        <w:t>市场机会</w:t>
      </w:r>
      <w:r>
        <w:rPr/>
        <w:t>：AI工业设计市场以29.5% CAGR增长至2030年的232亿美元，汽车A级曲面开发是其中最高价值、最高壁垒的子赛道。</w:t>
      </w:r>
    </w:p>
    <w:p>
      <w:pPr>
        <w:jc w:val="left"/>
      </w:pPr>
      <w:r>
        <w:rPr>
          <w:b/>
          <w:bCs/>
        </w:rPr>
        <w:t>竞争壁垒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技术壁垒</w:t>
      </w:r>
      <w:r>
        <w:rPr/>
        <w:t>：21参数硬盘体系 + 模拟退火/贝叶斯优化双引擎 + G0/G1/G2自动评估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数据壁垒</w:t>
      </w:r>
      <w:r>
        <w:rPr/>
        <w:t>：8类车型本体库 + 持续积累的品牌DNA参数模板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工作流壁垒</w:t>
      </w:r>
      <w:r>
        <w:rPr/>
        <w:t>：深度嵌入OEM造型-工程流程，切换成本极高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先发优势</w:t>
      </w:r>
      <w:r>
        <w:rPr/>
        <w:t>：在汽车AI造型细分赛道率先完成工程化产品</w:t>
      </w:r>
    </w:p>
    <w:p>
      <w:pPr>
        <w:jc w:val="left"/>
      </w:pPr>
      <w:r>
        <w:rPr>
          <w:b/>
          <w:bCs/>
        </w:rPr>
        <w:t>商业化路径</w:t>
      </w:r>
      <w:r>
        <w:rPr/>
        <w:t>：三层收入模型（SaaS订阅 + 用量付费 + 价值分成），目标Year 3 ARR达$10-20M、毛利率75-85%。</w:t>
      </w:r>
    </w:p>
    <w:p>
      <w:pPr>
        <w:pStyle w:val="5"/>
        <w:jc w:val="left"/>
      </w:pPr>
      <w:r>
        <w:rPr/>
        <w:t>4.5 估值逻辑与退出路径</w:t>
      </w:r>
    </w:p>
    <w:p>
      <w:pPr>
        <w:jc w:val="left"/>
      </w:pPr>
      <w:r>
        <w:rPr>
          <w:b/>
          <w:bCs/>
        </w:rPr>
        <w:t>估值参考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设序科技（工业AI生成式设计，年营收近亿元）：Pre-B轮估值数亿元</w:t>
      </w:r>
    </w:p>
    <w:p>
      <w:pPr>
        <w:numPr>
          <w:ilvl w:val="0"/>
          <w:numId w:val="2"/>
        </w:numPr>
        <w:jc w:val="left"/>
      </w:pPr>
      <w:r>
        <w:rPr/>
        <w:t>九韶智能（AI原生工业设计，近亿元融资）：A轮估值数亿元</w:t>
      </w:r>
    </w:p>
    <w:p>
      <w:pPr>
        <w:numPr>
          <w:ilvl w:val="0"/>
          <w:numId w:val="2"/>
        </w:numPr>
        <w:jc w:val="left"/>
      </w:pPr>
      <w:r>
        <w:rPr/>
        <w:t>黑湖科技（工业AI Agent，营收年增60%+，已盈利）：D轮估值超70亿元</w:t>
      </w:r>
    </w:p>
    <w:p>
      <w:pPr>
        <w:numPr>
          <w:ilvl w:val="0"/>
          <w:numId w:val="2"/>
        </w:numPr>
        <w:jc w:val="left"/>
      </w:pPr>
      <w:r>
        <w:rPr/>
        <w:t>工业SaaS公司通常PS倍数：早期5-10x，成长期10-20x，成熟期8-15x</w:t>
      </w:r>
    </w:p>
    <w:p>
      <w:pPr>
        <w:jc w:val="left"/>
      </w:pPr>
      <w:r>
        <w:rPr>
          <w:b/>
          <w:bCs/>
        </w:rPr>
        <w:t>EVOLUTION AI估值建议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/>
        <w:t>Pre-A轮：按$0.5-1M ARR × 8-12x PS = $4-12M（取$5-10M）</w:t>
      </w:r>
    </w:p>
    <w:p>
      <w:pPr>
        <w:numPr>
          <w:ilvl w:val="0"/>
          <w:numId w:val="2"/>
        </w:numPr>
        <w:jc w:val="left"/>
      </w:pPr>
      <w:r>
        <w:rPr/>
        <w:t>A轮：按$2-4M ARR × 8-12x PS = $16-48M（取$20-40M）</w:t>
      </w:r>
    </w:p>
    <w:p>
      <w:pPr>
        <w:numPr>
          <w:ilvl w:val="0"/>
          <w:numId w:val="2"/>
        </w:numPr>
        <w:jc w:val="left"/>
      </w:pPr>
      <w:r>
        <w:rPr/>
        <w:t>B轮：按$8-12M ARR × 8-12x PS = $64-144M（取$60-120M）</w:t>
      </w:r>
    </w:p>
    <w:p>
      <w:pPr>
        <w:jc w:val="left"/>
      </w:pPr>
      <w:r>
        <w:rPr>
          <w:b/>
          <w:bCs/>
        </w:rPr>
        <w:t>退出路径</w:t>
      </w:r>
      <w:r>
        <w:rPr/>
        <w:t>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IPO</w:t>
      </w:r>
      <w:r>
        <w:rPr/>
        <w:t>：3-5年后登陆科创板/港交所/纳斯达克（参考思谋科技冲击“工业AI智能体第一股”）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战略并购</w:t>
      </w:r>
      <w:r>
        <w:rPr/>
        <w:t>：被达索系统、Autodesk、西门子等CAD巨头收购（参考Accenture收购Flutura、Chaos收购EvolveLAB）</w:t>
      </w:r>
    </w:p>
    <w:p>
      <w:pPr>
        <w:pStyle w:val="4"/>
        <w:jc w:val="left"/>
      </w:pPr>
      <w:r>
        <w:rPr/>
        <w:t>五、分阶段执行路线图</w:t>
      </w:r>
    </w:p>
    <w:tbl>
      <w:tblPr>
        <w:tblStyle w:val="9"/>
        <w:tblW w:w="102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040"/>
        <w:gridCol w:w="2040"/>
        <w:gridCol w:w="2040"/>
        <w:gridCol w:w="2040"/>
        <w:gridCol w:w="2040"/>
      </w:tblGrid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阶段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时间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ROI目标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运营重点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融资重点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冷启动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0-12月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ARR $0.5-1M，累计亏损$0.5-1.5M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5-10个POC、技术博客、行业展会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Pre-A轮 $1-2M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规模化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12-24月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ARR $3-6M，盈亏平衡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销售团队搭建、渠道拓展、产品矩阵扩展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A轮 $3-5M</w:t>
            </w:r>
          </w:p>
        </w:tc>
      </w:tr>
      <w:tr>
        <w:tblPrEx/>
        <w:trPr>
          <w:trHeight w:val="396"/>
        </w:trPr>
        <w:tc>
          <w:tcPr>
            <w:tcW w:w="204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生态构建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24-36月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ARR $10-20M，净利润$6-14M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开放平台、全球扩张、数据飞轮</w:t>
            </w:r>
          </w:p>
        </w:tc>
        <w:tc>
          <w:tcPr>
            <w:tcW w:w="2040" w:type="dxa"/>
            <w:vAlign w:val="top"/>
          </w:tcPr>
          <w:p>
            <w:pPr>
              <w:jc w:val="left"/>
            </w:pPr>
            <w:r>
              <w:rPr/>
              <w:t>B轮 $10-20M</w:t>
            </w:r>
          </w:p>
        </w:tc>
      </w:tr>
    </w:tbl>
    <w:p>
      <w:pPr>
        <w:jc w:val="left"/>
      </w:pPr>
      <w:r>
        <w:rPr>
          <w:b/>
          <w:bCs/>
        </w:rPr>
        <w:t>总结</w:t>
      </w:r>
      <w:r>
        <w:rPr/>
        <w:t>：EVOLUTION AI在29.5%年增速的AI工业设计市场中，以“端到端A级曲面平台”的差异化定位和“订阅+用量+价值分成”三层收入模型，有望在26个月内实现投资回收、3年内ARR达$10-20M。在工业AI软件融资持续活跃的窗口期，EVOLUTION AI应把握时机、分阶段推进融资与运营协同，加速从产品验证走向规模化商业成功。</w:t>
      </w:r>
    </w:p>
    <w:sectPr>
      <w:pgSz w:w="14706" w:h="16838" w:orient="portrait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2026-06-27T11:19:45Z</dcterms:created>
  <dcterms:modified xsi:type="dcterms:W3CDTF">2026-06-27T11:19:45Z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