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EVOLUTION AI：面向OEM与Tier-1的技术与商业推介方案</w:t>
      </w:r>
    </w:p>
    <w:p>
      <w:pPr>
        <w:pStyle w:val="3"/>
        <w:jc w:val="left"/>
      </w:pPr>
      <w:r>
        <w:rPr/>
        <w:t>EVOLUTION AI：面向OEM与Tier-1的技术与商业推介方案</w:t>
      </w:r>
    </w:p>
    <w:p>
      <w:pPr>
        <w:jc w:val="left"/>
      </w:pPr>
      <w:r>
        <w:rPr>
          <w:b/>
          <w:bCs/>
        </w:rPr>
        <w:t>汇报人：产品技术团队</w:t>
      </w:r>
    </w:p>
    <w:p>
      <w:pPr>
        <w:jc w:val="left"/>
      </w:pPr>
      <w:r>
        <w:rPr>
          <w:b/>
          <w:bCs/>
        </w:rPr>
        <w:t>日期：2026年6月27日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目录</w:t>
      </w:r>
    </w:p>
    <w:p>
      <w:pPr>
        <w:numPr>
          <w:ilvl w:val="0"/>
          <w:numId w:val="3"/>
        </w:numPr>
        <w:jc w:val="left"/>
      </w:pPr>
      <w:r>
        <w:rPr/>
        <w:t>行业痛点与市场机遇</w:t>
      </w:r>
    </w:p>
    <w:p>
      <w:pPr>
        <w:numPr>
          <w:ilvl w:val="0"/>
          <w:numId w:val="3"/>
        </w:numPr>
        <w:jc w:val="left"/>
      </w:pPr>
      <w:r>
        <w:rPr/>
        <w:t>核心技术架构</w:t>
      </w:r>
    </w:p>
    <w:p>
      <w:pPr>
        <w:numPr>
          <w:ilvl w:val="0"/>
          <w:numId w:val="3"/>
        </w:numPr>
        <w:jc w:val="left"/>
      </w:pPr>
      <w:r>
        <w:rPr/>
        <w:t>商业模式与客户价值</w:t>
      </w:r>
    </w:p>
    <w:p>
      <w:pPr>
        <w:numPr>
          <w:ilvl w:val="0"/>
          <w:numId w:val="3"/>
        </w:numPr>
        <w:jc w:val="left"/>
      </w:pPr>
      <w:r>
        <w:rPr/>
        <w:t>实施路径与ROI实证</w:t>
      </w:r>
    </w:p>
    <w:p>
      <w:pPr>
        <w:numPr>
          <w:ilvl w:val="0"/>
          <w:numId w:val="3"/>
        </w:numPr>
        <w:jc w:val="left"/>
      </w:pPr>
      <w:r>
        <w:rPr/>
        <w:t>总结与展望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行业痛点与市场机遇</w:t>
      </w:r>
    </w:p>
    <w:p>
      <w:pPr>
        <w:pStyle w:val="5"/>
        <w:jc w:val="left"/>
      </w:pPr>
      <w:r>
        <w:rPr/>
        <w:t>1.1 传统A级曲面开发的四大痛点</w:t>
      </w:r>
    </w:p>
    <w:p>
      <w:pPr>
        <w:jc w:val="left"/>
      </w:pPr>
      <w:r>
        <w:rPr/>
        <w:t>汽车A级曲面（Class A Surface）是决定车辆外观品质与工程可行性的核心环节，但传统开发流程长期受困于以下问题：</w:t>
      </w:r>
    </w:p>
    <w:p>
      <w:pPr>
        <w:jc w:val="left"/>
      </w:pPr>
      <w:r>
        <w:rPr>
          <w:b/>
          <w:bCs/>
        </w:rPr>
        <w:t>[此处配图：传统流程痛点示意图，标注四个痛点及影响]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4903"/>
        <w:gridCol w:w="2828"/>
      </w:tblGrid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痛点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现状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直接影响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周期长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概念到A级曲面冻结需3-4周，整车开发周期长达36-48个月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上市节奏被卡，研发成本高企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探索有限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手动工作流限制设计师仅能探索3-5个概念方向/项目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设计创新不足，错失最优方案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迭代成本高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每次油泥模型修改耗费36万元人民币以上，且需2-4周前置时间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沉没成本巨大，决策风险高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协作孤岛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造型、工程与制造团队在断连的工具链（Alias、ICEM、CATIA等）中工作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数据转换损失工时，部门间反复沟通</w:t>
            </w:r>
          </w:p>
        </w:tc>
      </w:tr>
    </w:tbl>
    <w:p>
      <w:pPr>
        <w:pStyle w:val="5"/>
        <w:jc w:val="left"/>
      </w:pPr>
      <w:r>
        <w:rPr/>
        <w:t>1.2 市场机遇：百亿美元级增长赛道</w:t>
      </w:r>
    </w:p>
    <w:p>
      <w:pPr>
        <w:jc w:val="left"/>
      </w:pPr>
      <w:r>
        <w:rPr/>
        <w:t>AI正在深度渗透工业设计领域，市场空间快速膨胀：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AI工业设计市场</w:t>
      </w:r>
      <w:r>
        <w:rPr/>
        <w:t>：2025年全球规模64.5亿美元，预计2030年达232亿美元，</w:t>
      </w:r>
      <w:r>
        <w:rPr>
          <w:b/>
          <w:bCs/>
        </w:rPr>
        <w:t>CAGR 29.5%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生成式设计软件市场</w:t>
      </w:r>
      <w:r>
        <w:rPr/>
        <w:t>：2025年26.6亿美元，预计2031年达95.7亿美元，</w:t>
      </w:r>
      <w:r>
        <w:rPr>
          <w:b/>
          <w:bCs/>
        </w:rPr>
        <w:t>CAGR 18.5%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中国市场</w:t>
      </w:r>
      <w:r>
        <w:rPr/>
        <w:t>：2025年AI驱动设计工具销售额达766亿元人民币，预计2032年达2455.9亿元，</w:t>
      </w:r>
      <w:r>
        <w:rPr>
          <w:b/>
          <w:bCs/>
        </w:rPr>
        <w:t>CAGR 18.2%</w:t>
      </w:r>
      <w:r>
        <w:rPr/>
        <w:t>，增长近3.2倍。</w:t>
      </w:r>
    </w:p>
    <w:p>
      <w:pPr>
        <w:jc w:val="left"/>
      </w:pPr>
      <w:r>
        <w:rPr>
          <w:b/>
          <w:bCs/>
        </w:rPr>
        <w:t>[此处配图：市场规模增长曲线图，标注全球与中国市场数据]</w:t>
      </w:r>
    </w:p>
    <w:p>
      <w:pPr>
        <w:jc w:val="left"/>
      </w:pPr>
      <w:r>
        <w:rPr>
          <w:b/>
          <w:bCs/>
        </w:rPr>
        <w:t>结论</w:t>
      </w:r>
      <w:r>
        <w:rPr/>
        <w:t>：汽车造型设计正处于AI替代重复劳动、提升效率的关键窗口期。EVOLUTION AI瞄准“参数输入→曲面生成→质量评估→数据交付”全链路，为OEM与Tier-1提供从“经验手艺”到“AI工程”的转型方案。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核心技术架构</w:t>
      </w:r>
    </w:p>
    <w:p>
      <w:pPr>
        <w:pStyle w:val="5"/>
        <w:jc w:val="left"/>
      </w:pPr>
      <w:r>
        <w:rPr/>
        <w:t>2.1 产品定位：AI副驾，而非AI主角</w:t>
      </w:r>
    </w:p>
    <w:p>
      <w:pPr>
        <w:jc w:val="left"/>
      </w:pPr>
      <w:r>
        <w:rPr/>
        <w:t>EVOLUTION AI不试图替代造型师与工程师，而是作为</w:t>
      </w:r>
      <w:r>
        <w:rPr>
          <w:b/>
          <w:bCs/>
        </w:rPr>
        <w:t>智能副驾</w:t>
      </w:r>
      <w:r>
        <w:rPr/>
        <w:t>提供三大自动化价值：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光顺优化</w:t>
      </w:r>
      <w:r>
        <w:rPr/>
        <w:t>：自动完成重复性曲面调整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质量守卫</w:t>
      </w:r>
      <w:r>
        <w:rPr/>
        <w:t>：自动执行F5/F6/F7级曲面检查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数据交付</w:t>
      </w:r>
      <w:r>
        <w:rPr/>
        <w:t>：自动生成工程可用的输出文件</w:t>
      </w:r>
    </w:p>
    <w:p>
      <w:pPr>
        <w:pStyle w:val="12"/>
        <w:jc w:val="left"/>
      </w:pPr>
      <w:r>
        <w:rPr>
          <w:b/>
          <w:bCs/>
        </w:rPr>
        <w:t>差异化定位</w:t>
      </w:r>
      <w:r>
        <w:rPr/>
        <w:t>：</w:t>
      </w:r>
    </w:p>
    <w:p>
      <w:pPr>
        <w:pStyle w:val="12"/>
        <w:jc w:val="left"/>
      </w:pPr>
      <w:r>
        <w:rPr>
          <w:rStyle w:val="13"/>
        </w:rPr>
        <w:t>❌</w:t>
      </w:r>
      <w:r>
        <w:rPr/>
        <w:t xml:space="preserve"> 不做2D效果图生成器（阿尔特“太乙”等已有布局）</w:t>
      </w:r>
    </w:p>
    <w:p>
      <w:pPr>
        <w:pStyle w:val="12"/>
        <w:jc w:val="left"/>
      </w:pPr>
      <w:r>
        <w:rPr>
          <w:rStyle w:val="13"/>
        </w:rPr>
        <w:t>✅</w:t>
      </w:r>
      <w:r>
        <w:rPr/>
        <w:t xml:space="preserve"> 做</w:t>
      </w:r>
      <w:r>
        <w:rPr>
          <w:b/>
          <w:bCs/>
        </w:rPr>
        <w:t>3D参数化A级曲面全流程平台</w:t>
      </w:r>
      <w:r>
        <w:rPr/>
        <w:t>——从参数到曲面、质量评估到数据交付，形成端到端闭环。</w:t>
      </w:r>
    </w:p>
    <w:p>
      <w:pPr>
        <w:jc w:val="left"/>
      </w:pPr>
      <w:r>
        <w:rPr>
          <w:b/>
          <w:bCs/>
        </w:rPr>
        <w:t>[此处配图：产品定位对比图（EVOLUTION AI vs 传统工具 vs 2D生成器）]</w:t>
      </w:r>
    </w:p>
    <w:p>
      <w:pPr>
        <w:pStyle w:val="5"/>
        <w:jc w:val="left"/>
      </w:pPr>
      <w:r>
        <w:rPr/>
        <w:t>2.2 21参数硬盘体系：整车级参数化基础</w:t>
      </w:r>
    </w:p>
    <w:p>
      <w:pPr>
        <w:jc w:val="left"/>
      </w:pPr>
      <w:r>
        <w:rPr/>
        <w:t>EVOLUTION AI的核心是21个整车级参数，分为三大组，以BMW 3系F30为基准，支持连续调节：</w:t>
      </w:r>
    </w:p>
    <w:p>
      <w:pPr>
        <w:jc w:val="left"/>
      </w:pPr>
      <w:r>
        <w:rPr>
          <w:b/>
          <w:bCs/>
        </w:rPr>
        <w:t>[此处配图：21参数体系结构图，标注分组与典型值]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277"/>
        <w:gridCol w:w="6005"/>
        <w:gridCol w:w="2277"/>
      </w:tblGrid>
      <w:tr>
        <w:tblPrEx/>
        <w:trPr>
          <w:trHeight w:val="396"/>
        </w:trPr>
        <w:tc>
          <w:tcPr>
            <w:tcW w:w="227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参数组</w:t>
            </w:r>
          </w:p>
        </w:tc>
        <w:tc>
          <w:tcPr>
            <w:tcW w:w="600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参数列表（含基准值）</w:t>
            </w:r>
          </w:p>
        </w:tc>
        <w:tc>
          <w:tcPr>
            <w:tcW w:w="227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功能说明</w:t>
            </w:r>
          </w:p>
        </w:tc>
      </w:tr>
      <w:tr>
        <w:tblPrEx/>
        <w:trPr>
          <w:trHeight w:val="396"/>
        </w:trPr>
        <w:tc>
          <w:tcPr>
            <w:tcW w:w="227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尺寸组（9项）</w:t>
            </w:r>
          </w:p>
        </w:tc>
        <w:tc>
          <w:tcPr>
            <w:tcW w:w="6005" w:type="dxa"/>
            <w:vAlign w:val="top"/>
          </w:tcPr>
          <w:p>
            <w:pPr>
              <w:jc w:val="left"/>
            </w:pPr>
            <w:r>
              <w:rPr/>
              <w:t>L车长（4.84m）、W车宽（1.83m）、H车高（1.45m）、WB轴距（2.96m）、FO前悬（0.92m）、RO后悬（0.96m）、GC离地间隙（0.14m）、WR轮径（0.335m）、TW轮距（1.59m）</w:t>
            </w:r>
          </w:p>
        </w:tc>
        <w:tc>
          <w:tcPr>
            <w:tcW w:w="2277" w:type="dxa"/>
            <w:vAlign w:val="top"/>
          </w:tcPr>
          <w:p>
            <w:pPr>
              <w:jc w:val="left"/>
            </w:pPr>
            <w:r>
              <w:rPr/>
              <w:t>决定车辆外廓与空间布局，为硬盘推导的主输入</w:t>
            </w:r>
          </w:p>
        </w:tc>
      </w:tr>
      <w:tr>
        <w:tblPrEx/>
        <w:trPr>
          <w:trHeight w:val="396"/>
        </w:trPr>
        <w:tc>
          <w:tcPr>
            <w:tcW w:w="227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造型组（6项）</w:t>
            </w:r>
          </w:p>
        </w:tc>
        <w:tc>
          <w:tcPr>
            <w:tcW w:w="6005" w:type="dxa"/>
            <w:vAlign w:val="top"/>
          </w:tcPr>
          <w:p>
            <w:pPr>
              <w:jc w:val="left"/>
            </w:pPr>
            <w:r>
              <w:rPr/>
              <w:t>AA A柱角（27°）、RA C柱角（38°）、CA风挡角（42°）、WL腰线高（0.76m）、shoulderW肩部宽比（0.86）、archBulge轮拱隆起（0.10）</w:t>
            </w:r>
          </w:p>
        </w:tc>
        <w:tc>
          <w:tcPr>
            <w:tcW w:w="2277" w:type="dxa"/>
            <w:vAlign w:val="top"/>
          </w:tcPr>
          <w:p>
            <w:pPr>
              <w:jc w:val="left"/>
            </w:pPr>
            <w:r>
              <w:rPr/>
              <w:t>控制车身曲面特征，影响侧视与顶宽轮廓</w:t>
            </w:r>
          </w:p>
        </w:tc>
      </w:tr>
      <w:tr>
        <w:tblPrEx/>
        <w:trPr>
          <w:trHeight w:val="396"/>
        </w:trPr>
        <w:tc>
          <w:tcPr>
            <w:tcW w:w="227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高级组（6项）</w:t>
            </w:r>
          </w:p>
        </w:tc>
        <w:tc>
          <w:tcPr>
            <w:tcW w:w="6005" w:type="dxa"/>
            <w:vAlign w:val="top"/>
          </w:tcPr>
          <w:p>
            <w:pPr>
              <w:jc w:val="left"/>
            </w:pPr>
            <w:r>
              <w:rPr/>
              <w:t>hoodSlope引擎盖斜率（0.35）、deckRatio行李箱高比（0.55）、tumblehome（4°）、fenderFlare翼子板外扩（0.06m）、scuttlePoint风斗位置（0.48）、rearTaper后部收缩（0.70）</w:t>
            </w:r>
          </w:p>
        </w:tc>
        <w:tc>
          <w:tcPr>
            <w:tcW w:w="2277" w:type="dxa"/>
            <w:vAlign w:val="top"/>
          </w:tcPr>
          <w:p>
            <w:pPr>
              <w:jc w:val="left"/>
            </w:pPr>
            <w:r>
              <w:rPr/>
              <w:t>微调局部造型细节，实现精细化控制</w:t>
            </w:r>
          </w:p>
        </w:tc>
      </w:tr>
    </w:tbl>
    <w:p>
      <w:pPr>
        <w:jc w:val="left"/>
      </w:pPr>
      <w:r>
        <w:rPr>
          <w:b/>
          <w:bCs/>
        </w:rPr>
        <w:t>设计原则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比例优先</w:t>
      </w:r>
      <w:r>
        <w:rPr/>
        <w:t>：所有硬点通过比例公式推导，零硬编码偏移。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安全防护</w:t>
      </w:r>
      <w:r>
        <w:rPr/>
        <w:t>：NaN/ isFinite / damp三层防护，确保几何体始终有效。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模块化</w:t>
      </w:r>
      <w:r>
        <w:rPr/>
        <w:t>：每层独立可替换，支持定制化扩展。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可观测</w:t>
      </w:r>
      <w:r>
        <w:rPr/>
        <w:t>：所有中间结果可导出调试，便于质量追溯。</w:t>
      </w:r>
    </w:p>
    <w:p>
      <w:pPr>
        <w:pStyle w:val="5"/>
        <w:jc w:val="left"/>
      </w:pPr>
      <w:r>
        <w:rPr/>
        <w:t>2.3 曲面生成算法</w:t>
      </w:r>
    </w:p>
    <w:p>
      <w:pPr>
        <w:jc w:val="left"/>
      </w:pPr>
      <w:r>
        <w:rPr/>
        <w:t>基于21参数，系统自动构建完整3D模型，全过程耗时小于200ms：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侧视轮廓（sideProfile）</w:t>
      </w:r>
      <w:r>
        <w:rPr/>
        <w:t>：由12个关键点（前保险杠鼻尖→后保险杠尾端）构成，采用</w:t>
      </w:r>
      <w:r>
        <w:rPr>
          <w:rStyle w:val="13"/>
        </w:rPr>
        <w:t>lerpProfile()</w:t>
      </w:r>
      <w:r>
        <w:rPr/>
        <w:t>配合</w:t>
      </w:r>
      <w:r>
        <w:rPr>
          <w:rStyle w:val="13"/>
        </w:rPr>
        <w:t>smoothstep</w:t>
      </w:r>
      <w:r>
        <w:rPr/>
        <w:t>函数实现平滑过渡。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顶宽轮廓（topWidthProfile）</w:t>
      </w:r>
      <w:r>
        <w:rPr/>
        <w:t>：由9个控制点定义车身宽度变化，驱动参数包括</w:t>
      </w:r>
      <w:r>
        <w:rPr>
          <w:rStyle w:val="13"/>
        </w:rPr>
        <w:t>frontFenderW</w:t>
      </w:r>
      <w:r>
        <w:rPr/>
        <w:t>、</w:t>
      </w:r>
      <w:r>
        <w:rPr>
          <w:rStyle w:val="13"/>
        </w:rPr>
        <w:t>cabinW</w:t>
      </w:r>
      <w:r>
        <w:rPr/>
        <w:t>、</w:t>
      </w:r>
      <w:r>
        <w:rPr>
          <w:rStyle w:val="13"/>
        </w:rPr>
        <w:t>rearFenderW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轮拱区域</w:t>
      </w:r>
      <w:r>
        <w:rPr/>
        <w:t>：通过</w:t>
      </w:r>
      <w:r>
        <w:rPr>
          <w:rStyle w:val="13"/>
        </w:rPr>
        <w:t>archDist</w:t>
      </w:r>
      <w:r>
        <w:rPr/>
        <w:t>检测轮拱位置，</w:t>
      </w:r>
      <w:r>
        <w:rPr>
          <w:rStyle w:val="13"/>
        </w:rPr>
        <w:t>archFade</w:t>
      </w:r>
      <w:r>
        <w:rPr/>
        <w:t>控制隆起衰减，顶部与底部高度分别由轮径与离地间隙决定。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车型本体库</w:t>
      </w:r>
      <w:r>
        <w:rPr/>
        <w:t>：内置8类车型（微型车、紧凑级、中型车、中大型、SUV、MPV、跑车、蔚来系列），每车包含21参数、颜色及预设视角图像。</w:t>
      </w:r>
    </w:p>
    <w:p>
      <w:pPr>
        <w:jc w:val="left"/>
      </w:pPr>
      <w:r>
        <w:rPr>
          <w:b/>
          <w:bCs/>
        </w:rPr>
        <w:t>[此处配图：侧视轮廓12关键点示意图 / 顶宽轮廓9控制点示意图]</w:t>
      </w:r>
    </w:p>
    <w:p>
      <w:pPr>
        <w:jc w:val="left"/>
      </w:pPr>
      <w:r>
        <w:rPr>
          <w:b/>
          <w:bCs/>
        </w:rPr>
        <w:t>性能指标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网格规模：约15K顶点（车壳10K + 部件5K）</w:t>
      </w:r>
    </w:p>
    <w:p>
      <w:pPr>
        <w:numPr>
          <w:ilvl w:val="0"/>
          <w:numId w:val="2"/>
        </w:numPr>
        <w:jc w:val="left"/>
      </w:pPr>
      <w:r>
        <w:rPr/>
        <w:t>单次生成耗时：&lt;200ms（CPU）</w:t>
      </w:r>
    </w:p>
    <w:p>
      <w:pPr>
        <w:numPr>
          <w:ilvl w:val="0"/>
          <w:numId w:val="2"/>
        </w:numPr>
        <w:jc w:val="left"/>
      </w:pPr>
      <w:r>
        <w:rPr/>
        <w:t>参数联动响应：&lt;1s（端到端）</w:t>
      </w:r>
    </w:p>
    <w:p>
      <w:pPr>
        <w:jc w:val="left"/>
      </w:pPr>
      <w:r>
        <w:rPr>
          <w:b/>
          <w:bCs/>
        </w:rPr>
        <w:t>合规检查</w:t>
      </w:r>
      <w:r>
        <w:rPr/>
        <w:t>：实时GB1589-2016合规验证（车长≤5.3m、车宽≤2.55m、车高≤4.0m、离地间隙≥130mm、前悬比≤28%、后悬比≤65%），结果即时显示于界面底栏。</w:t>
      </w:r>
    </w:p>
    <w:p>
      <w:pPr>
        <w:pStyle w:val="5"/>
        <w:jc w:val="left"/>
      </w:pPr>
      <w:r>
        <w:rPr/>
        <w:t>2.4 AI优化引擎：从B级到A级的自动提升</w:t>
      </w:r>
    </w:p>
    <w:p>
      <w:pPr>
        <w:jc w:val="left"/>
      </w:pPr>
      <w:r>
        <w:rPr/>
        <w:t>传统手动曲面光顺需40小时以上，EVOLUTION AI的优化引擎可在15分钟内一键完成，且效果媲美资深建模师。</w:t>
      </w:r>
    </w:p>
    <w:p>
      <w:pPr>
        <w:jc w:val="left"/>
      </w:pPr>
      <w:r>
        <w:rPr>
          <w:b/>
          <w:bCs/>
        </w:rPr>
        <w:t>[此处配图：优化前后对比图（斑马条纹/高光反射对比）]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优化前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优化后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曲面连续性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G1断裂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G2/G3连续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斑马条纹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可见折痕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流畅无断裂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高光反射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扭曲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干净可预测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耗时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40+小时手动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15分钟一键</w:t>
            </w:r>
          </w:p>
        </w:tc>
      </w:tr>
    </w:tbl>
    <w:p>
      <w:pPr>
        <w:jc w:val="left"/>
      </w:pPr>
      <w:r>
        <w:rPr>
          <w:b/>
          <w:bCs/>
        </w:rPr>
        <w:t>算法原理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目标函数</w:t>
      </w:r>
      <w:r>
        <w:rPr/>
        <w:t>：法向量跳变平方和（光顺度最小化） + 边界控制点约束 + 物理范围惩罚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当前算法（MVP）</w:t>
      </w:r>
      <w:r>
        <w:rPr/>
        <w:t>：模拟退火（Simulated Annealing），150次迭代&lt;30秒，改进幅度≥20%，至少1个面板从B级升至A级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演进路线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阶段一（v2.0）：引入遗传算法，增强全局搜索能力</w:t>
      </w:r>
    </w:p>
    <w:p>
      <w:pPr>
        <w:numPr>
          <w:ilvl w:val="1"/>
          <w:numId w:val="2"/>
        </w:numPr>
        <w:jc w:val="left"/>
      </w:pPr>
      <w:r>
        <w:rPr/>
        <w:t>阶段二（v3.0）：采用贝叶斯优化，提升样本效率</w:t>
      </w:r>
    </w:p>
    <w:p>
      <w:pPr>
        <w:numPr>
          <w:ilvl w:val="1"/>
          <w:numId w:val="2"/>
        </w:numPr>
        <w:jc w:val="left"/>
      </w:pPr>
      <w:r>
        <w:rPr/>
        <w:t>阶段三（v4.0+）：构建神经代理模型，实现毫秒级实时优化</w:t>
      </w:r>
    </w:p>
    <w:p>
      <w:pPr>
        <w:jc w:val="left"/>
      </w:pPr>
      <w:r>
        <w:rPr>
          <w:b/>
          <w:bCs/>
        </w:rPr>
        <w:t>典型应用场景</w:t>
      </w:r>
      <w:r>
        <w:rPr/>
        <w:t>：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改款车型曲面快速迭代</w:t>
      </w:r>
      <w:r>
        <w:rPr/>
        <w:t>：2小时内完成10+版优化方案，节省90%时间。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合规要求适配优化</w:t>
      </w:r>
      <w:r>
        <w:rPr/>
        <w:t>：根据行人保护、外凸法规自动调整曲面，保留设计语言。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工程冲突修复</w:t>
      </w:r>
      <w:r>
        <w:rPr/>
        <w:t>：针对总布置、底盘、动力冲突区域自动光顺，满足A级标准。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多车型平台化适配</w:t>
      </w:r>
      <w:r>
        <w:rPr/>
        <w:t>：同一设计语言批量适配不同级别车型，单车型≤1小时，保证全系列一致性。</w:t>
      </w:r>
    </w:p>
    <w:p>
      <w:pPr>
        <w:jc w:val="left"/>
      </w:pPr>
      <w:r>
        <w:rPr>
          <w:b/>
          <w:bCs/>
        </w:rPr>
        <w:t>[此处配图：四个场景的示例示意（可选）]</w:t>
      </w:r>
    </w:p>
    <w:p>
      <w:pPr>
        <w:pStyle w:val="5"/>
        <w:jc w:val="left"/>
      </w:pPr>
      <w:r>
        <w:rPr/>
        <w:t>2.5 质量评估器：G0/G1/G2与反射线自动评估</w:t>
      </w:r>
    </w:p>
    <w:p>
      <w:pPr>
        <w:jc w:val="left"/>
      </w:pPr>
      <w:r>
        <w:rPr/>
        <w:t>系统自动计算四项核心指标，并输出多格式报告：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A级要求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工程意义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G0位置连续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100%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曲面无缝隙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G1法向夹角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&gt;85%区域&lt;5°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一阶光滑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G2法向夹角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&gt;85%区域&lt;2°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二阶光滑（反射线无折）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反射线评分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&gt;0.7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视觉高级感</w:t>
            </w:r>
          </w:p>
        </w:tc>
      </w:tr>
    </w:tbl>
    <w:p>
      <w:pPr>
        <w:jc w:val="left"/>
      </w:pPr>
      <w:r>
        <w:rPr>
          <w:b/>
          <w:bCs/>
        </w:rPr>
        <w:t>输出格式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JSON报告（结构化数据，可集成到企业系统）</w:t>
      </w:r>
    </w:p>
    <w:p>
      <w:pPr>
        <w:numPr>
          <w:ilvl w:val="0"/>
          <w:numId w:val="2"/>
        </w:numPr>
        <w:jc w:val="left"/>
      </w:pPr>
      <w:r>
        <w:rPr/>
        <w:t>HTML可视化报告（含反射线图、曲率云图、数据表）</w:t>
      </w:r>
    </w:p>
    <w:p>
      <w:pPr>
        <w:numPr>
          <w:ilvl w:val="0"/>
          <w:numId w:val="2"/>
        </w:numPr>
        <w:jc w:val="left"/>
      </w:pPr>
      <w:r>
        <w:rPr/>
        <w:t>等级徽章（A/B/C/D）</w:t>
      </w:r>
    </w:p>
    <w:p>
      <w:pPr>
        <w:pStyle w:val="5"/>
        <w:jc w:val="left"/>
      </w:pPr>
      <w:r>
        <w:rPr/>
        <w:t>2.6 前端实时渲染与交互</w:t>
      </w:r>
    </w:p>
    <w:p>
      <w:pPr>
        <w:jc w:val="left"/>
      </w:pPr>
      <w:r>
        <w:rPr/>
        <w:t>基于Three.js的WebGL渲染引擎，提供流畅的交互体验：</w:t>
      </w:r>
    </w:p>
    <w:p>
      <w:pPr>
        <w:jc w:val="left"/>
      </w:pPr>
      <w:r>
        <w:rPr>
          <w:b/>
          <w:bCs/>
        </w:rPr>
        <w:t>[此处配图：界面三栏布局示意图]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组件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技术指标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三栏Flex布局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左栏：21参数滑块；中栏：3D视口；右栏：部件控制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参数联动响应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0.3秒（端到端）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3D渲染帧率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60fps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模型生成耗时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180ms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内存占用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280MB</w:t>
            </w:r>
          </w:p>
        </w:tc>
      </w:tr>
    </w:tbl>
    <w:p>
      <w:pPr>
        <w:jc w:val="left"/>
      </w:pPr>
      <w:r>
        <w:rPr>
          <w:b/>
          <w:bCs/>
        </w:rPr>
        <w:t>浮窗系统</w:t>
      </w:r>
      <w:r>
        <w:rPr/>
        <w:t>（4大模块）：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竞品对标</w:t>
      </w:r>
      <w:r>
        <w:rPr/>
        <w:t>：7项Chart.js对比图（轴距、风阻、功率等）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标杆参考</w:t>
      </w:r>
      <w:r>
        <w:rPr/>
        <w:t>：行业P25/P50/P75线叠加于滑块背景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方法论</w:t>
      </w:r>
      <w:r>
        <w:rPr/>
        <w:t>：设计准则、GB法规、AI建议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AI辅助</w:t>
      </w:r>
      <w:r>
        <w:rPr/>
        <w:t>：GPT参数推荐、合规校验</w:t>
      </w:r>
    </w:p>
    <w:p>
      <w:pPr>
        <w:pStyle w:val="5"/>
        <w:jc w:val="left"/>
      </w:pPr>
      <w:r>
        <w:rPr/>
        <w:t>2.7 数据交付与版本路线图</w:t>
      </w:r>
    </w:p>
    <w:p>
      <w:pPr>
        <w:jc w:val="left"/>
      </w:pPr>
      <w:r>
        <w:rPr>
          <w:b/>
          <w:bCs/>
        </w:rPr>
        <w:t>数据交付模块（v2.0规划）</w:t>
      </w:r>
      <w:r>
        <w:rPr/>
        <w:t xml:space="preserve"> ：</w:t>
      </w:r>
    </w:p>
    <w:p>
      <w:pPr>
        <w:numPr>
          <w:ilvl w:val="0"/>
          <w:numId w:val="2"/>
        </w:numPr>
        <w:jc w:val="left"/>
      </w:pPr>
      <w:r>
        <w:rPr/>
        <w:t>支持IGES / STEP / JT格式导出</w:t>
      </w:r>
    </w:p>
    <w:p>
      <w:pPr>
        <w:numPr>
          <w:ilvl w:val="0"/>
          <w:numId w:val="2"/>
        </w:numPr>
        <w:jc w:val="left"/>
      </w:pPr>
      <w:r>
        <w:rPr/>
        <w:t>附带PDF质量报告</w:t>
      </w:r>
    </w:p>
    <w:p>
      <w:pPr>
        <w:numPr>
          <w:ilvl w:val="0"/>
          <w:numId w:val="2"/>
        </w:numPr>
        <w:jc w:val="left"/>
      </w:pPr>
      <w:r>
        <w:rPr/>
        <w:t>不丢控制点、不丢图层属性</w:t>
      </w:r>
    </w:p>
    <w:p>
      <w:pPr>
        <w:jc w:val="left"/>
      </w:pPr>
      <w:r>
        <w:rPr>
          <w:b/>
          <w:bCs/>
        </w:rPr>
        <w:t>五阶段演进路线</w:t>
      </w:r>
      <w:r>
        <w:rPr/>
        <w:t>：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版本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状态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核心能力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v0.1 玩具版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rStyle w:val="13"/>
              </w:rPr>
              <w:t>✅</w:t>
            </w:r>
            <w:r>
              <w:rPr/>
              <w:t>已完成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3块Bezier曲面 + 滑块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v0.5 完整DEMO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rStyle w:val="13"/>
              </w:rPr>
              <w:t>✅</w:t>
            </w:r>
            <w:r>
              <w:rPr/>
              <w:t>已完成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车壳+玻璃+4轮+灯+格栅+镜+门缝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v1.0 工程化版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rStyle w:val="13"/>
              </w:rPr>
              <w:t>✅</w:t>
            </w:r>
            <w:r>
              <w:rPr/>
              <w:t>当前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FastAPI+Three.js+视频DEMO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v1.5 桌面工程版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rStyle w:val="13"/>
              </w:rPr>
              <w:t>📋</w:t>
            </w:r>
            <w:r>
              <w:rPr/>
              <w:t>规划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Electron/Tauri打包，本地一键安装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v2.0 数据交付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rStyle w:val="13"/>
              </w:rPr>
              <w:t>📋</w:t>
            </w:r>
            <w:r>
              <w:rPr/>
              <w:t>规划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IGES/STEP/JT导出落地</w:t>
            </w:r>
          </w:p>
        </w:tc>
      </w:tr>
    </w:tbl>
    <w:p>
      <w:pPr>
        <w:jc w:val="left"/>
      </w:pPr>
      <w:r>
        <w:rPr>
          <w:b/>
          <w:bCs/>
        </w:rPr>
        <w:t>[此处配图：路线图时间轴]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商业模式与客户价值</w:t>
      </w:r>
    </w:p>
    <w:p>
      <w:pPr>
        <w:pStyle w:val="5"/>
        <w:jc w:val="left"/>
      </w:pPr>
      <w:r>
        <w:rPr/>
        <w:t>3.1 客户细分与付费意愿</w:t>
      </w:r>
    </w:p>
    <w:tbl>
      <w:tblPr>
        <w:tblStyle w:val="9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客户层级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典型客户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年软件预算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决策周期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核心诉求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Tier 1 OEM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宝马、奔驰、大众、丰田、吉利、比亚迪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数千万元至数亿元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6-18个月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缩短周期、降低返工、提升设计质量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Tier 2 供应商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麦格纳、博世、宁德时代、华域汽车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数百万元至数千万元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3-9个月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快速响应OEM、降低原型成本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Tier 3 设计咨询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Pininfarina、Bertone、I.DE.A、阿尔特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数十万元至数百万元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1-3个月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赢得竞标、加速交付、提升提案视觉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Tier 4 高校/研究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同济大学、湖南大学等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教育预算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灵活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培养人才、学术背书、开源生态（提供免费学术授权）</w:t>
            </w:r>
          </w:p>
        </w:tc>
      </w:tr>
    </w:tbl>
    <w:p>
      <w:pPr>
        <w:pStyle w:val="5"/>
        <w:jc w:val="left"/>
      </w:pPr>
      <w:r>
        <w:rPr/>
        <w:t>3.2 三层收入模型</w:t>
      </w:r>
    </w:p>
    <w:p>
      <w:pPr>
        <w:jc w:val="left"/>
      </w:pPr>
      <w:r>
        <w:rPr>
          <w:b/>
          <w:bCs/>
        </w:rPr>
        <w:t>[此处配图：三层收入模型示意图]</w:t>
      </w:r>
    </w:p>
    <w:p>
      <w:pPr>
        <w:pStyle w:val="6"/>
        <w:jc w:val="left"/>
      </w:pPr>
      <w:r>
        <w:rPr/>
        <w:t>第一层：SaaS订阅收入（稳定现金流）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订阅层级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目标用户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年费（预估）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核心功能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Starter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个人/小型工作室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1.7万-3.5万元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21参数建模、WebGL预览、基础渲染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Professional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设计咨询/CAS团队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8.4万-16.8万元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+AI优化引擎、质量评估、多格式导出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Enterprise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OEM / Tier-1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42万-168万元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+团队协作、私有化部署、API集成、品牌DNA模型</w:t>
            </w:r>
          </w:p>
        </w:tc>
      </w:tr>
    </w:tbl>
    <w:p>
      <w:pPr>
        <w:pStyle w:val="6"/>
        <w:jc w:val="left"/>
      </w:pPr>
      <w:r>
        <w:rPr/>
        <w:t>第二层：用量付费收入（弹性增长）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计费项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单价（预估）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触发场景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AI曲面优化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350-1400元/次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B级→A级自动提升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高质量渲染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35-140元/张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评审会、营销物料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批量概念生成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700-3500元/100个变体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创意探索阶段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数据导出（IGES/STEP/JT）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350-1050元/次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工程数据交付</w:t>
            </w:r>
          </w:p>
        </w:tc>
      </w:tr>
    </w:tbl>
    <w:p>
      <w:pPr>
        <w:pStyle w:val="6"/>
        <w:jc w:val="left"/>
      </w:pPr>
      <w:r>
        <w:rPr/>
        <w:t>第三层：价值分成收入（高价值捕获）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分成场景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分成比例（预估）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工程变更减少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10-20%节省的ECR成本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平台提前发现缺陷，避免后期返工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油泥模型节省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10-15%减少的物理模型成本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每个油泥模型36万元，减少5次即节省180万元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上市加速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1-5%提前上市带来的额外利润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每提前1个月，OEM可增加数百万美元利润</w:t>
            </w:r>
          </w:p>
        </w:tc>
      </w:tr>
    </w:tbl>
    <w:p>
      <w:pPr>
        <w:pStyle w:val="5"/>
        <w:jc w:val="left"/>
      </w:pPr>
      <w:r>
        <w:rPr/>
        <w:t>3.3 竞争护城河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47"/>
        <w:gridCol w:w="6793"/>
      </w:tblGrid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护城河维度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具体表现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数据飞轮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更多OEM使用 → 更多设计数据 → 更好的AI模型 → 更高的客户价值 → 吸引更多客户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工作流锁定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深度嵌入OEM的造型-工程流程，切换成本极高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参数库积累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21参数体系 + 车型本体库持续扩展，形成行业标准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品牌DNA模型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为每个客户训练专属AI模型，形成深度绑定</w:t>
            </w:r>
          </w:p>
        </w:tc>
      </w:tr>
    </w:tbl>
    <w:p>
      <w:pPr>
        <w:jc w:val="left"/>
      </w:pPr>
      <w:r>
        <w:rPr>
          <w:b/>
          <w:bCs/>
        </w:rPr>
        <w:t>[此处配图：竞争护城河示意图]</w:t>
      </w:r>
    </w:p>
    <w:p>
      <w:pPr>
        <w:pStyle w:val="5"/>
        <w:jc w:val="left"/>
      </w:pPr>
      <w:r>
        <w:rPr/>
        <w:t>3.4 客户ROI实证</w:t>
      </w:r>
    </w:p>
    <w:p>
      <w:pPr>
        <w:jc w:val="left"/>
      </w:pPr>
      <w:r>
        <w:rPr>
          <w:b/>
          <w:bCs/>
        </w:rPr>
        <w:t>单客户（中型OEM）年价值估算</w:t>
      </w:r>
      <w:r>
        <w:rPr/>
        <w:t>：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效益项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传统模式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使用EVOLUTION AI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年节省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油泥模型修改次数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10+次/年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3-5次/年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节省5次×36万元=</w:t>
            </w:r>
            <w:r>
              <w:rPr>
                <w:b/>
                <w:bCs/>
              </w:rPr>
              <w:t>180万元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工程变更（ECR）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基线100%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减少80%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按节省工程成本</w:t>
            </w:r>
            <w:r>
              <w:rPr>
                <w:b/>
                <w:bCs/>
              </w:rPr>
              <w:t>10-20%分成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造型冻结周期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3-4周/项目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1-2周/项目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项目数量增加，间接收益巨大</w:t>
            </w:r>
          </w:p>
        </w:tc>
      </w:tr>
    </w:tbl>
    <w:p>
      <w:pPr>
        <w:pStyle w:val="17"/>
      </w:pPr>
    </w:p>
    <w:p>
      <w:pPr>
        <w:pStyle w:val="12"/>
        <w:jc w:val="left"/>
      </w:pPr>
      <w:r>
        <w:rPr>
          <w:b/>
          <w:bCs/>
        </w:rPr>
        <w:t>综合ROI</w:t>
      </w:r>
      <w:r>
        <w:rPr/>
        <w:t>：OEM每年可节省300-1000万元直接成本，投入产出比可达10-30倍。</w:t>
      </w:r>
    </w:p>
    <w:p>
      <w:pPr>
        <w:jc w:val="left"/>
      </w:pPr>
      <w:r>
        <w:rPr>
          <w:b/>
          <w:bCs/>
        </w:rPr>
        <w:t>[此处配图：客户ROI对比柱状图]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实施路径与ROI实证</w:t>
      </w:r>
    </w:p>
    <w:p>
      <w:pPr>
        <w:pStyle w:val="5"/>
        <w:jc w:val="left"/>
      </w:pPr>
      <w:r>
        <w:rPr/>
        <w:t>4.1 技术部署策略</w:t>
      </w:r>
    </w:p>
    <w:p>
      <w:pPr>
        <w:pStyle w:val="6"/>
        <w:jc w:val="left"/>
      </w:pPr>
      <w:r>
        <w:rPr/>
        <w:t>硬件架构（端-边-云三级）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4903"/>
        <w:gridCol w:w="2828"/>
      </w:tblGrid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层级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硬件配置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职能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云端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NVIDIA A100/H100 GPU集群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模型训练、批量推理、全局编排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边缘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NVIDIA RTX A6000/L40、惠普Z系列AI工作站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实时推理、协同、本地化部署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终端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支持WebGL 2.0的GPU（设计师工作站/平板）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3D实时渲染、参数交互、评审展示</w:t>
            </w:r>
          </w:p>
        </w:tc>
      </w:tr>
    </w:tbl>
    <w:p>
      <w:pPr>
        <w:jc w:val="left"/>
      </w:pPr>
      <w:r>
        <w:rPr>
          <w:b/>
          <w:bCs/>
        </w:rPr>
        <w:t>[此处配图：端-边-云硬件架构图]</w:t>
      </w:r>
    </w:p>
    <w:p>
      <w:pPr>
        <w:pStyle w:val="6"/>
        <w:jc w:val="left"/>
      </w:pPr>
      <w:r>
        <w:rPr/>
        <w:t>软件架构（微服务 + WebAssembly + Three.js）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47"/>
        <w:gridCol w:w="6793"/>
      </w:tblGrid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层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技术栈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应用层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React/Vue.js + Three.js + 原生WebComponents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引擎层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FastAPI + trimesh + 模拟退火/贝叶斯优化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数据层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PostgreSQL + Redis + 工业知识图谱 + 车型参数库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部署层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Docker + Kubernetes + Istio + Cloudflare Workers</w:t>
            </w:r>
          </w:p>
        </w:tc>
      </w:tr>
    </w:tbl>
    <w:p>
      <w:pPr>
        <w:jc w:val="left"/>
      </w:pPr>
      <w:r>
        <w:rPr>
          <w:b/>
          <w:bCs/>
        </w:rPr>
        <w:t>[此处配图：软件技术栈分层图]</w:t>
      </w:r>
    </w:p>
    <w:p>
      <w:pPr>
        <w:pStyle w:val="6"/>
        <w:jc w:val="left"/>
      </w:pPr>
      <w:r>
        <w:rPr/>
        <w:t>部署模式选择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模式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目标客户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优势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挑战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SaaS公有云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中小型设计机构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低门槛、按需付费、免运维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数据安全顾虑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私有化部署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大型OEM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数据安全、完全控制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高成本、需客户IT支持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混合部署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中大型企业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兼顾安全与弹性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运维复杂度高</w:t>
            </w:r>
          </w:p>
        </w:tc>
      </w:tr>
    </w:tbl>
    <w:p>
      <w:pPr>
        <w:pStyle w:val="5"/>
        <w:jc w:val="left"/>
      </w:pPr>
      <w:r>
        <w:rPr/>
        <w:t>4.2 成本优化策略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模块化设计</w:t>
      </w:r>
      <w:r>
        <w:rPr/>
        <w:t>：解耦系统组件，提升复用性，降低定制成本。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核心算法100%单元测试覆盖</w:t>
      </w:r>
      <w:r>
        <w:rPr/>
        <w:t>：保障代码质量与稳定性，减少后期维护成本。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完整API文档与设计决策记录</w:t>
      </w:r>
      <w:r>
        <w:rPr/>
        <w:t>：降低协作成本与知识传递损耗。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算力成本控制</w:t>
      </w:r>
      <w:r>
        <w:rPr/>
        <w:t>：按需分配GPU实例、缓存复用结果、模型量化（INT8/FP16）、边缘推理分流。</w:t>
      </w:r>
    </w:p>
    <w:p>
      <w:pPr>
        <w:pStyle w:val="5"/>
        <w:jc w:val="left"/>
      </w:pPr>
      <w:r>
        <w:rPr/>
        <w:t>4.3 三年财务预测</w:t>
      </w:r>
    </w:p>
    <w:p>
      <w:pPr>
        <w:jc w:val="left"/>
      </w:pPr>
      <w:r>
        <w:rPr>
          <w:b/>
          <w:bCs/>
        </w:rPr>
        <w:t>[此处配图：财务预测趋势图（收入/成本/利润）]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Year 1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Year 2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Year 3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年度总收入（万元）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300-650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1,650-3,400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6,000-12,500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毛利率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60-70%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70-80%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75-85%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净利润（万元）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-430 ~ -350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570 ~ 1,680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4,280 ~ 9,620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LTV/CAC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3-4x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8-12x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20-40x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ARR（万元）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250-550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1,400-2,800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5,000-10,000</w:t>
            </w:r>
          </w:p>
        </w:tc>
      </w:tr>
    </w:tbl>
    <w:p>
      <w:pPr>
        <w:jc w:val="left"/>
      </w:pPr>
      <w:r>
        <w:rPr>
          <w:b/>
          <w:bCs/>
        </w:rPr>
        <w:t>投资回收期</w:t>
      </w:r>
      <w:r>
        <w:rPr/>
        <w:t>：约20-26个月（Year 2中期累计现金流回正）。</w:t>
      </w:r>
    </w:p>
    <w:p>
      <w:pPr>
        <w:jc w:val="left"/>
      </w:pPr>
      <w:r>
        <w:rPr>
          <w:b/>
          <w:bCs/>
        </w:rPr>
        <w:t>初始投入（Year 0）</w:t>
      </w:r>
      <w:r>
        <w:rPr/>
        <w:t xml:space="preserve"> ：600-1,100万元，主要用于：</w:t>
      </w:r>
    </w:p>
    <w:p>
      <w:pPr>
        <w:numPr>
          <w:ilvl w:val="0"/>
          <w:numId w:val="2"/>
        </w:numPr>
        <w:jc w:val="left"/>
      </w:pPr>
      <w:r>
        <w:rPr/>
        <w:t>核心算法研发：300-500万元</w:t>
      </w:r>
    </w:p>
    <w:p>
      <w:pPr>
        <w:numPr>
          <w:ilvl w:val="0"/>
          <w:numId w:val="2"/>
        </w:numPr>
        <w:jc w:val="left"/>
      </w:pPr>
      <w:r>
        <w:rPr/>
        <w:t>前后端开发：200-400万元</w:t>
      </w:r>
    </w:p>
    <w:p>
      <w:pPr>
        <w:numPr>
          <w:ilvl w:val="0"/>
          <w:numId w:val="2"/>
        </w:numPr>
        <w:jc w:val="left"/>
      </w:pPr>
      <w:r>
        <w:rPr/>
        <w:t>GPU算力与云基础设施：50-100万元</w:t>
      </w:r>
    </w:p>
    <w:p>
      <w:pPr>
        <w:numPr>
          <w:ilvl w:val="0"/>
          <w:numId w:val="2"/>
        </w:numPr>
        <w:jc w:val="left"/>
      </w:pPr>
      <w:r>
        <w:rPr/>
        <w:t>办公场地与设备：30-60万元</w:t>
      </w:r>
    </w:p>
    <w:p>
      <w:pPr>
        <w:numPr>
          <w:ilvl w:val="0"/>
          <w:numId w:val="2"/>
        </w:numPr>
        <w:jc w:val="left"/>
      </w:pPr>
      <w:r>
        <w:rPr/>
        <w:t>法务与知识产权：20-40万元</w:t>
      </w:r>
    </w:p>
    <w:p>
      <w:pPr>
        <w:pStyle w:val="5"/>
        <w:jc w:val="left"/>
      </w:pPr>
      <w:r>
        <w:rPr/>
        <w:t>4.4 分阶段执行路线图</w:t>
      </w:r>
    </w:p>
    <w:p>
      <w:pPr>
        <w:jc w:val="left"/>
      </w:pPr>
      <w:r>
        <w:rPr>
          <w:b/>
          <w:bCs/>
        </w:rPr>
        <w:t>[此处配图：三年路线图甘特图]</w:t>
      </w:r>
    </w:p>
    <w:tbl>
      <w:tblPr>
        <w:tblStyle w:val="9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560"/>
        <w:gridCol w:w="1560"/>
        <w:gridCol w:w="2760"/>
        <w:gridCol w:w="2760"/>
        <w:gridCol w:w="1560"/>
      </w:tblGrid>
      <w:tr>
        <w:tblPrEx/>
        <w:trPr>
          <w:trHeight w:val="396"/>
        </w:trPr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阶段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时间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关键行动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里程碑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融资目标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冷启动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0-12月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• 寻找2-3家中国OEM战略客户，免费POC+深度共创 • 参加上海车展、中国汽车工程学会年会 • 技术博客与行业白皮书发布 • 完成首批3-5家付费客户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ARR达350-700万元 验证PMF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Pre-A轮 $1-2M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规模化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12-24月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• 拓展至Tier-1供应商，客户数达20-30家 • 推出Partner Program，签约设计咨询机构渠道 • 英文版产品与海外销售团队搭建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ARR达2,000-4,000万元 盈亏平衡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A轮 $3-5M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生态构建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24-36月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• 进军欧洲市场，签约大众、宝马等国际客户 • 开放API平台、插件市场，构建开发者生态 • 与1-2家OEM签署价值分成协议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国际收入占比≥30% ARR达7,000-14,000万元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B轮 $10-20M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总结与展望</w:t>
      </w:r>
    </w:p>
    <w:p>
      <w:pPr>
        <w:pStyle w:val="5"/>
        <w:jc w:val="left"/>
      </w:pPr>
      <w:r>
        <w:rPr/>
        <w:t>核心优势回顾</w:t>
      </w:r>
    </w:p>
    <w:p>
      <w:pPr>
        <w:numPr>
          <w:ilvl w:val="0"/>
          <w:numId w:val="6"/>
        </w:numPr>
        <w:jc w:val="left"/>
      </w:pPr>
      <w:r>
        <w:rPr>
          <w:b/>
          <w:bCs/>
        </w:rPr>
        <w:t>技术壁垒</w:t>
      </w:r>
      <w:r>
        <w:rPr/>
        <w:t>：21参数硬盘体系 + 模拟退火/贝叶斯优化双引擎 + G0/G1/G2自动评估，形成端到端闭环。</w:t>
      </w:r>
    </w:p>
    <w:p>
      <w:pPr>
        <w:numPr>
          <w:ilvl w:val="0"/>
          <w:numId w:val="6"/>
        </w:numPr>
        <w:jc w:val="left"/>
      </w:pPr>
      <w:r>
        <w:rPr>
          <w:b/>
          <w:bCs/>
        </w:rPr>
        <w:t>商业创新</w:t>
      </w:r>
      <w:r>
        <w:rPr/>
        <w:t>：三层收入模型（订阅+用量+价值分成），深度绑定客户利益。</w:t>
      </w:r>
    </w:p>
    <w:p>
      <w:pPr>
        <w:numPr>
          <w:ilvl w:val="0"/>
          <w:numId w:val="6"/>
        </w:numPr>
        <w:jc w:val="left"/>
      </w:pPr>
      <w:r>
        <w:rPr>
          <w:b/>
          <w:bCs/>
        </w:rPr>
        <w:t>市场卡位</w:t>
      </w:r>
      <w:r>
        <w:rPr/>
        <w:t>：在29.5%年增速的AI工业设计赛道中，定位“3D参数化A级曲面全流程平台”，错位竞争2D效果图工具。</w:t>
      </w:r>
    </w:p>
    <w:p>
      <w:pPr>
        <w:numPr>
          <w:ilvl w:val="0"/>
          <w:numId w:val="6"/>
        </w:numPr>
        <w:jc w:val="left"/>
      </w:pPr>
      <w:r>
        <w:rPr>
          <w:b/>
          <w:bCs/>
        </w:rPr>
        <w:t>客户价值</w:t>
      </w:r>
      <w:r>
        <w:rPr/>
        <w:t>：显著缩短周期、降低返工、提升设计探索广度，ROI可达10-30倍。</w:t>
      </w:r>
    </w:p>
    <w:p>
      <w:pPr>
        <w:pStyle w:val="5"/>
        <w:jc w:val="left"/>
      </w:pPr>
      <w:r>
        <w:rPr/>
        <w:t>未来展望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产品</w:t>
      </w:r>
      <w:r>
        <w:rPr/>
        <w:t>：从造型设计延伸至工程仿真接口，实现造型-工程一体化闭环。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生态</w:t>
      </w:r>
      <w:r>
        <w:rPr/>
        <w:t>：通过开放API与插件市场，构建汽车AI设计生态平台。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全球</w:t>
      </w:r>
      <w:r>
        <w:rPr/>
        <w:t>：以中国为起点，向欧洲、北美市场拓展，服务全球OEM与Tier-1。</w:t>
      </w:r>
    </w:p>
    <w:p>
      <w:pPr>
        <w:jc w:val="left"/>
      </w:pPr>
      <w:r>
        <w:rPr>
          <w:b/>
          <w:bCs/>
        </w:rPr>
        <w:t>[此处配图：未来愿景图——从造型到工程再到生态]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>
          <w:b/>
          <w:bCs/>
        </w:rPr>
        <w:t>感谢聆听，期待合作！</w:t>
      </w:r>
    </w:p>
    <w:p>
      <w:pPr>
        <w:jc w:val="left"/>
      </w:pPr>
      <w:r>
        <w:rPr>
          <w:b/>
          <w:bCs/>
        </w:rPr>
        <w:t>EVOLUTION AI产品技术团队</w:t>
      </w:r>
    </w:p>
    <w:p>
      <w:pPr>
        <w:jc w:val="left"/>
      </w:pPr>
      <w:r>
        <w:rPr>
          <w:b/>
          <w:bCs/>
        </w:rPr>
        <w:t>邮箱：</w:t>
      </w:r>
      <w:r>
        <w:rPr/>
        <w:fldChar w:fldCharType="begin"/>
      </w:r>
      <w:r>
        <w:rPr/>
        <w:instrText xml:space="preserve"> HYPERLINK "mailto:contact@evolution-ai.com" </w:instrText>
      </w:r>
      <w:r>
        <w:rPr/>
        <w:fldChar w:fldCharType="separate"/>
      </w:r>
      <w:r>
        <w:rPr>
          <w:rStyle w:val="10"/>
          <w:b/>
          <w:bCs/>
        </w:rPr>
        <w:t>contact@evolution-ai.com</w:t>
      </w:r>
      <w:r>
        <w:rPr/>
        <w:fldChar w:fldCharType="end"/>
      </w:r>
    </w:p>
    <w:p>
      <w:pPr>
        <w:jc w:val="left"/>
      </w:pPr>
      <w:r>
        <w:rPr>
          <w:b/>
          <w:bCs/>
        </w:rPr>
        <w:t>网站：</w:t>
      </w:r>
      <w:r>
        <w:rPr/>
        <w:fldChar w:fldCharType="begin"/>
      </w:r>
      <w:r>
        <w:rPr/>
        <w:instrText xml:space="preserve"> HYPERLINK "https://www.evolution-ai.com" </w:instrText>
      </w:r>
      <w:r>
        <w:rPr/>
        <w:fldChar w:fldCharType="separate"/>
      </w:r>
      <w:r>
        <w:rPr>
          <w:rStyle w:val="10"/>
          <w:b/>
          <w:bCs/>
        </w:rPr>
        <w:t>www.evolution-ai.com</w:t>
      </w:r>
      <w:r>
        <w:rPr/>
        <w:fldChar w:fldCharType="end"/>
      </w:r>
    </w:p>
    <w:sectPr>
      <w:pgSz w:w="14706" w:h="16838" w:orient="portrait"/>
      <w:pgMar w:top="1440" w:right="46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5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6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2026-06-27T12:23:32Z</dcterms:created>
  <dcterms:modified xsi:type="dcterms:W3CDTF">2026-06-27T12:23:32Z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