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EVOLUTION AI 本地化部署算力服务器硬件配置规划</w:t>
      </w:r>
    </w:p>
    <w:p>
      <w:pPr>
        <w:pStyle w:val="3"/>
        <w:jc w:val="left"/>
      </w:pPr>
      <w:r>
        <w:rPr/>
        <w:t>EVOLUTION AI 本地化部署算力服务器硬件配置规划</w:t>
      </w:r>
    </w:p>
    <w:p>
      <w:pPr>
        <w:jc w:val="left"/>
      </w:pPr>
      <w:r>
        <w:rPr/>
        <w:t>基于EVOLUTION AI平台的核心算法模块（21/22维参数建模、曲面生成、模拟退火AI优化、贝叶斯优化/神经代理模型、质量评估、Three.js实时渲染），本文从各模块算力需求出发，系统推导本地化部署的硬件配置方案。</w:t>
      </w:r>
    </w:p>
    <w:p>
      <w:pPr>
        <w:pStyle w:val="4"/>
        <w:jc w:val="left"/>
      </w:pPr>
      <w:r>
        <w:rPr/>
        <w:t>一、各算法模块算力需求分析</w:t>
      </w:r>
    </w:p>
    <w:p>
      <w:pPr>
        <w:pStyle w:val="5"/>
        <w:jc w:val="left"/>
      </w:pPr>
      <w:r>
        <w:rPr/>
        <w:t>1.1 参数化建模与曲面生成引擎</w:t>
      </w:r>
    </w:p>
    <w:p>
      <w:pPr>
        <w:jc w:val="left"/>
      </w:pPr>
      <w:r>
        <w:rPr>
          <w:b/>
          <w:bCs/>
        </w:rPr>
        <w:t>计算特征</w:t>
      </w:r>
      <w:r>
        <w:rPr/>
        <w:t>：密集浮点运算（超椭圆计算、smoothstep插值、网格顶点生成），单次生成约15K顶点、20K三角面。</w:t>
      </w:r>
    </w:p>
    <w:tbl>
      <w:tblPr>
        <w:tblStyle w:val="9"/>
        <w:tblW w:w="1074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5370"/>
        <w:gridCol w:w="5370"/>
      </w:tblGrid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指标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需求规格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计算类型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CPU密集（单精度浮点）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并行度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低（串行几何构建）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单次耗时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&lt;200ms（当前）/ &lt;100ms（目标）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GPU加速需求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低（可纯CPU运行）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内存占用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&lt;500MB/会话</w:t>
            </w:r>
          </w:p>
        </w:tc>
      </w:tr>
    </w:tbl>
    <w:p>
      <w:pPr>
        <w:jc w:val="left"/>
      </w:pPr>
      <w:r>
        <w:rPr>
          <w:b/>
          <w:bCs/>
        </w:rPr>
        <w:t>结论</w:t>
      </w:r>
      <w:r>
        <w:rPr/>
        <w:t>：该模块对GPU无硬性需求，主要依赖CPU单核性能与内存带宽。</w:t>
      </w:r>
    </w:p>
    <w:p>
      <w:pPr>
        <w:pStyle w:val="5"/>
        <w:jc w:val="left"/>
      </w:pPr>
      <w:r>
        <w:rPr/>
        <w:t>1.2 AI优化引擎（模拟退火）</w:t>
      </w:r>
    </w:p>
    <w:p>
      <w:pPr>
        <w:jc w:val="left"/>
      </w:pPr>
      <w:r>
        <w:rPr/>
        <w:t>模拟退火算法天然适合GPU并行加速。研究表明，基于CUDA的GPU加速模拟退火可实现</w:t>
      </w:r>
      <w:r>
        <w:rPr>
          <w:b/>
          <w:bCs/>
        </w:rPr>
        <w:t>相比传统CPU实现高达40倍的加速</w:t>
      </w:r>
      <w:r>
        <w:rPr/>
        <w:t>，能够高效模拟复杂系统。细粒度并行模拟退火算法（GPUSA）将串行Markov链拆分为多个CUDA线程块并行执行。</w:t>
      </w:r>
    </w:p>
    <w:tbl>
      <w:tblPr>
        <w:tblStyle w:val="9"/>
        <w:tblW w:w="1074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5370"/>
        <w:gridCol w:w="5370"/>
      </w:tblGrid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指标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需求规格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计算类型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高度并行（CUDA/OpenCL）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并行度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极高（每轮迭代数千次独立评估）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单次优化耗时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&lt;30s（当前）/ &lt;10s（目标）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GPU加速收益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10-40倍</w:t>
            </w:r>
            <w:r>
              <w:rPr/>
              <w:t xml:space="preserve"> vs CPU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显存需求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取决于曲面网格规模（~2-8GB）</w:t>
            </w:r>
          </w:p>
        </w:tc>
      </w:tr>
    </w:tbl>
    <w:p>
      <w:pPr>
        <w:jc w:val="left"/>
      </w:pPr>
      <w:r>
        <w:rPr>
          <w:b/>
          <w:bCs/>
        </w:rPr>
        <w:t>结论</w:t>
      </w:r>
      <w:r>
        <w:rPr/>
        <w:t>：模拟退火是</w:t>
      </w:r>
      <w:r>
        <w:rPr>
          <w:b/>
          <w:bCs/>
        </w:rPr>
        <w:t>GPU强依赖模块</w:t>
      </w:r>
      <w:r>
        <w:rPr/>
        <w:t>，无GPU时性能将严重退化。</w:t>
      </w:r>
    </w:p>
    <w:p>
      <w:pPr>
        <w:pStyle w:val="5"/>
        <w:jc w:val="left"/>
      </w:pPr>
      <w:r>
        <w:rPr/>
        <w:t>1.3 贝叶斯优化与神经代理模型（规划中）</w:t>
      </w:r>
    </w:p>
    <w:p>
      <w:pPr>
        <w:jc w:val="left"/>
      </w:pPr>
      <w:r>
        <w:rPr/>
        <w:t>贝叶斯优化的代理模型（高斯过程或神经网络）依赖矩阵运算，天然适配GPU加速。BoTorch等现代贝叶斯优化框架基于PyTorch，通过GPU加速实现高效优化。</w:t>
      </w:r>
    </w:p>
    <w:tbl>
      <w:tblPr>
        <w:tblStyle w:val="9"/>
        <w:tblW w:w="1074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5370"/>
        <w:gridCol w:w="5370"/>
      </w:tblGrid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指标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需求规格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计算类型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矩阵运算（PyTorch/TensorFlow）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并行度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高（批量采集函数优化）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训练/推理耗时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训练：分钟级 / 推理：毫秒级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GPU加速收益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5-20倍</w:t>
            </w:r>
            <w:r>
              <w:rPr/>
              <w:t xml:space="preserve"> vs CPU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显存需求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取决于代理模型规模（~4-16GB）</w:t>
            </w:r>
          </w:p>
        </w:tc>
      </w:tr>
    </w:tbl>
    <w:p>
      <w:pPr>
        <w:jc w:val="left"/>
      </w:pPr>
      <w:r>
        <w:rPr>
          <w:b/>
          <w:bCs/>
        </w:rPr>
        <w:t>结论</w:t>
      </w:r>
      <w:r>
        <w:rPr/>
        <w:t>：神经代理模型为</w:t>
      </w:r>
      <w:r>
        <w:rPr>
          <w:b/>
          <w:bCs/>
        </w:rPr>
        <w:t>GPU强依赖模块</w:t>
      </w:r>
      <w:r>
        <w:rPr/>
        <w:t>，推荐配备Tensor Core GPU。</w:t>
      </w:r>
    </w:p>
    <w:p>
      <w:pPr>
        <w:pStyle w:val="5"/>
        <w:jc w:val="left"/>
      </w:pPr>
      <w:r>
        <w:rPr/>
        <w:t>1.4 质量评估器（G0/G1/G2/反射线）</w:t>
      </w:r>
    </w:p>
    <w:p>
      <w:pPr>
        <w:jc w:val="left"/>
      </w:pPr>
      <w:r>
        <w:rPr/>
        <w:t>质量评估涉及法向量计算、曲率分析、反射线追踪等几何计算。</w:t>
      </w:r>
    </w:p>
    <w:tbl>
      <w:tblPr>
        <w:tblStyle w:val="9"/>
        <w:tblW w:w="1074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5370"/>
        <w:gridCol w:w="5370"/>
      </w:tblGrid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指标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需求规格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计算类型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几何计算 + 轻度并行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并行度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中（可批量评估多曲面）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单次评估耗时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&lt;5s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GPU加速需求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低-中（可选）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显存需求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&lt;2GB</w:t>
            </w:r>
          </w:p>
        </w:tc>
      </w:tr>
    </w:tbl>
    <w:p>
      <w:pPr>
        <w:jc w:val="left"/>
      </w:pPr>
      <w:r>
        <w:rPr>
          <w:b/>
          <w:bCs/>
        </w:rPr>
        <w:t>结论</w:t>
      </w:r>
      <w:r>
        <w:rPr/>
        <w:t>：可纯CPU运行，GPU为非必需但可加速批量评估。</w:t>
      </w:r>
    </w:p>
    <w:p>
      <w:pPr>
        <w:pStyle w:val="5"/>
        <w:jc w:val="left"/>
      </w:pPr>
      <w:r>
        <w:rPr/>
        <w:t>1.5 Three.js实时渲染（WebGL）</w:t>
      </w:r>
    </w:p>
    <w:p>
      <w:pPr>
        <w:jc w:val="left"/>
      </w:pPr>
      <w:r>
        <w:rPr/>
        <w:t>Three.js基于WebGL，渲染性能依赖GPU的图形渲染能力。复杂3D场景（多光源、阴影、高多边形模型）对GPU要求较高。推荐配置为</w:t>
      </w:r>
      <w:r>
        <w:rPr>
          <w:b/>
          <w:bCs/>
        </w:rPr>
        <w:t>NVIDIA RTX 4070 Ti SUPER 16GB</w:t>
      </w:r>
      <w:r>
        <w:rPr/>
        <w:t>或以上级别。</w:t>
      </w:r>
    </w:p>
    <w:tbl>
      <w:tblPr>
        <w:tblStyle w:val="9"/>
        <w:tblW w:w="1074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5370"/>
        <w:gridCol w:w="5370"/>
      </w:tblGrid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指标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需求规格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计算类型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图形渲染（光栅化+光线追踪）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并行度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极高（GPU管线）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帧率要求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60fps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GPU加速需求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强依赖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显存需求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4-16GB（取决于场景复杂度）</w:t>
            </w:r>
          </w:p>
        </w:tc>
      </w:tr>
    </w:tbl>
    <w:p>
      <w:pPr>
        <w:jc w:val="left"/>
      </w:pPr>
      <w:r>
        <w:rPr>
          <w:b/>
          <w:bCs/>
        </w:rPr>
        <w:t>结论</w:t>
      </w:r>
      <w:r>
        <w:rPr/>
        <w:t>：Three.js渲染为</w:t>
      </w:r>
      <w:r>
        <w:rPr>
          <w:b/>
          <w:bCs/>
        </w:rPr>
        <w:t>GPU强依赖模块</w:t>
      </w:r>
      <w:r>
        <w:rPr/>
        <w:t>，需配备专业级或消费级GPU。</w:t>
      </w:r>
    </w:p>
    <w:p>
      <w:pPr>
        <w:pStyle w:val="5"/>
        <w:jc w:val="left"/>
      </w:pPr>
      <w:r>
        <w:rPr/>
        <w:t>1.6 算力需求汇总</w:t>
      </w:r>
    </w:p>
    <w:tbl>
      <w:tblPr>
        <w:tblStyle w:val="9"/>
        <w:tblW w:w="1020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040"/>
        <w:gridCol w:w="2040"/>
        <w:gridCol w:w="2040"/>
        <w:gridCol w:w="2040"/>
        <w:gridCol w:w="2040"/>
      </w:tblGrid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模块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CPU需求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GPU需求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GPU加速收益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优先级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参数化建模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高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低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1-2x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必需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模拟退火优化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中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高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10-40x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核心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贝叶斯/代理模型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中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高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5-20x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核心（规划）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质量评估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中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低-中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2-5x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可选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Three.js渲染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低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高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必需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核心</w:t>
            </w:r>
          </w:p>
        </w:tc>
      </w:tr>
    </w:tbl>
    <w:p>
      <w:pPr>
        <w:pStyle w:val="4"/>
        <w:jc w:val="left"/>
      </w:pPr>
      <w:r>
        <w:rPr/>
        <w:t>二、GPU选型建议</w:t>
      </w:r>
    </w:p>
    <w:p>
      <w:pPr>
        <w:pStyle w:val="5"/>
        <w:jc w:val="left"/>
      </w:pPr>
      <w:r>
        <w:rPr/>
        <w:t>2.1 NVIDIA专业GPU产品线对比</w:t>
      </w:r>
    </w:p>
    <w:tbl>
      <w:tblPr>
        <w:tblStyle w:val="9"/>
        <w:tblW w:w="1404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560"/>
        <w:gridCol w:w="1560"/>
        <w:gridCol w:w="1560"/>
        <w:gridCol w:w="1560"/>
        <w:gridCol w:w="1560"/>
        <w:gridCol w:w="1560"/>
        <w:gridCol w:w="1560"/>
        <w:gridCol w:w="1560"/>
        <w:gridCol w:w="1560"/>
      </w:tblGrid>
      <w:tr>
        <w:tblPrEx/>
        <w:trPr>
          <w:trHeight w:val="396"/>
        </w:trPr>
        <w:tc>
          <w:tcPr>
            <w:tcW w:w="156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GPU型号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架构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CUDA核心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显存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显存类型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FP32 TFLOPS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Tensor TFLOPS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TDP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适用场景</w:t>
            </w:r>
          </w:p>
        </w:tc>
      </w:tr>
      <w:tr>
        <w:tblPrEx/>
        <w:trPr>
          <w:trHeight w:val="396"/>
        </w:trPr>
        <w:tc>
          <w:tcPr>
            <w:tcW w:w="1560" w:type="dxa"/>
            <w:vAlign w:val="top"/>
          </w:tcPr>
          <w:p>
            <w:pPr>
              <w:jc w:val="left"/>
            </w:pPr>
            <w:r>
              <w:rPr/>
              <w:t>RTX A6000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/>
              <w:t>Ampere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/>
              <w:t>10,752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/>
              <w:t>48GB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/>
              <w:t>GDDR6 ECC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/>
              <w:t>38.7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/>
              <w:t>—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/>
              <w:t>300W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/>
              <w:t>入门级专业工作站</w:t>
            </w:r>
          </w:p>
        </w:tc>
      </w:tr>
      <w:tr>
        <w:tblPrEx/>
        <w:trPr>
          <w:trHeight w:val="396"/>
        </w:trPr>
        <w:tc>
          <w:tcPr>
            <w:tcW w:w="1560" w:type="dxa"/>
            <w:vAlign w:val="top"/>
          </w:tcPr>
          <w:p>
            <w:pPr>
              <w:jc w:val="left"/>
            </w:pPr>
            <w:r>
              <w:rPr/>
              <w:t>RTX 5880 Ada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/>
              <w:t>Ada Lovelace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/>
              <w:t>14,080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/>
              <w:t>48GB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/>
              <w:t>GDDR6 ECC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/>
              <w:t>69.3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/>
              <w:t>1,108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/>
              <w:t>285W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/>
              <w:t>中端专业工作站</w:t>
            </w:r>
          </w:p>
        </w:tc>
      </w:tr>
      <w:tr>
        <w:tblPrEx/>
        <w:trPr>
          <w:trHeight w:val="396"/>
        </w:trPr>
        <w:tc>
          <w:tcPr>
            <w:tcW w:w="1560" w:type="dxa"/>
            <w:vAlign w:val="top"/>
          </w:tcPr>
          <w:p>
            <w:pPr>
              <w:jc w:val="left"/>
            </w:pPr>
            <w:r>
              <w:rPr/>
              <w:t>RTX 6000 Ada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/>
              <w:t>Ada Lovelace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/>
              <w:t>18,176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/>
              <w:t>48GB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/>
              <w:t>GDDR6 ECC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/>
              <w:t>91.1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/>
              <w:t>—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/>
              <w:t>300W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/>
              <w:t>高端专业工作站</w:t>
            </w:r>
          </w:p>
        </w:tc>
      </w:tr>
      <w:tr>
        <w:tblPrEx/>
        <w:trPr>
          <w:trHeight w:val="396"/>
        </w:trPr>
        <w:tc>
          <w:tcPr>
            <w:tcW w:w="1560" w:type="dxa"/>
            <w:vAlign w:val="top"/>
          </w:tcPr>
          <w:p>
            <w:pPr>
              <w:jc w:val="left"/>
            </w:pPr>
            <w:r>
              <w:rPr/>
              <w:t>RTX PRO 6000 BW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/>
              <w:t>Blackwell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/>
              <w:t>24,064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96GB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GDDR7 ECC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126.0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4,030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/>
              <w:t>600W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旗舰专业工作站</w:t>
            </w:r>
          </w:p>
        </w:tc>
      </w:tr>
      <w:tr>
        <w:tblPrEx/>
        <w:trPr>
          <w:trHeight w:val="396"/>
        </w:trPr>
        <w:tc>
          <w:tcPr>
            <w:tcW w:w="1560" w:type="dxa"/>
            <w:vAlign w:val="top"/>
          </w:tcPr>
          <w:p>
            <w:pPr>
              <w:jc w:val="left"/>
            </w:pPr>
            <w:r>
              <w:rPr/>
              <w:t>NVIDIA L40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/>
              <w:t>Ada Lovelace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/>
              <w:t>—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/>
              <w:t>48GB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/>
              <w:t>GDDR6 ECC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/>
              <w:t>—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/>
              <w:t>—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/>
              <w:t>300W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/>
              <w:t>数据中心推理</w:t>
            </w:r>
          </w:p>
        </w:tc>
      </w:tr>
      <w:tr>
        <w:tblPrEx/>
        <w:trPr>
          <w:trHeight w:val="396"/>
        </w:trPr>
        <w:tc>
          <w:tcPr>
            <w:tcW w:w="1560" w:type="dxa"/>
            <w:vAlign w:val="top"/>
          </w:tcPr>
          <w:p>
            <w:pPr>
              <w:jc w:val="left"/>
            </w:pPr>
            <w:r>
              <w:rPr/>
              <w:t>NVIDIA L40S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/>
              <w:t>Ada Lovelace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/>
              <w:t>—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/>
              <w:t>48GB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/>
              <w:t>GDDR6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/>
              <w:t>—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/>
              <w:t>—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/>
              <w:t>—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/>
              <w:t>数据中心AI训练</w:t>
            </w:r>
          </w:p>
        </w:tc>
      </w:tr>
    </w:tbl>
    <w:p>
      <w:pPr>
        <w:pStyle w:val="17"/>
      </w:pPr>
    </w:p>
    <w:p>
      <w:pPr>
        <w:pStyle w:val="12"/>
        <w:jc w:val="left"/>
      </w:pPr>
      <w:r>
        <w:rPr>
          <w:b/>
          <w:bCs/>
        </w:rPr>
        <w:t>说明</w:t>
      </w:r>
      <w:r>
        <w:rPr/>
        <w:t>：RTX PRO 6000 Blackwell Workstation Edition配备</w:t>
      </w:r>
      <w:r>
        <w:rPr>
          <w:b/>
          <w:bCs/>
        </w:rPr>
        <w:t>96GB GDDR7 ECC显存</w:t>
      </w:r>
      <w:r>
        <w:rPr/>
        <w:t>，FP32算力达126.0 TFLOPS，FP4 Tensor算力达4030.4 AI TOPS。RTX 5880 Ada Generation单精度算力69.3 TFLOPS，Tensor算力1108.4 TFLOPS。</w:t>
      </w:r>
    </w:p>
    <w:p>
      <w:pPr>
        <w:pStyle w:val="5"/>
        <w:jc w:val="left"/>
      </w:pPr>
      <w:r>
        <w:rPr/>
        <w:t>2.2 GPU选型决策矩阵</w:t>
      </w:r>
    </w:p>
    <w:tbl>
      <w:tblPr>
        <w:tblStyle w:val="9"/>
        <w:tblW w:w="1038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595"/>
        <w:gridCol w:w="2595"/>
        <w:gridCol w:w="2595"/>
        <w:gridCol w:w="2595"/>
      </w:tblGrid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部署规模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推荐GPU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数量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理由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开发测试/个人工作站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RTX 5880 Ada 或 RTX 6000 Ada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1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48GB显存足以支撑模拟退火+渲染，性价比高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中型企业（5-20人）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RTX 6000 Ada 或 L40S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2-4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并行处理多用户优化任务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大型OEM（20+人）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RTX PRO 6000 Blackwell 或 H100 NVL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4-8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96GB显存支撑大规模代理模型训练+多用户并发</w:t>
            </w:r>
          </w:p>
        </w:tc>
      </w:tr>
    </w:tbl>
    <w:p>
      <w:pPr>
        <w:pStyle w:val="4"/>
        <w:jc w:val="left"/>
      </w:pPr>
      <w:r>
        <w:rPr/>
        <w:t>三、分场景硬件配置方案</w:t>
      </w:r>
    </w:p>
    <w:p>
      <w:pPr>
        <w:pStyle w:val="5"/>
        <w:jc w:val="left"/>
      </w:pPr>
      <w:r>
        <w:rPr/>
        <w:t>3.1 场景一：开发测试/个人工作站（1-2人）</w:t>
      </w:r>
    </w:p>
    <w:p>
      <w:pPr>
        <w:jc w:val="left"/>
      </w:pPr>
      <w:r>
        <w:rPr>
          <w:b/>
          <w:bCs/>
        </w:rPr>
        <w:t>适用对象</w:t>
      </w:r>
      <w:r>
        <w:rPr/>
        <w:t>：算法开发、Demo演示、小规模验证</w:t>
      </w:r>
    </w:p>
    <w:tbl>
      <w:tblPr>
        <w:tblStyle w:val="9"/>
        <w:tblW w:w="105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828"/>
        <w:gridCol w:w="4903"/>
        <w:gridCol w:w="2828"/>
      </w:tblGrid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组件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推荐配置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说明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CPU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Intel Xeon W-2400系列 或 AMD Ryzen Threadripper 7000系列（16-24核）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参数化建模+轻量并行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GPU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NVIDIA RTX 5880 Ada Generation（48GB GDDR6 ECC）</w:t>
            </w:r>
            <w:r>
              <w:rPr/>
              <w:t xml:space="preserve"> 或 RTX 6000 Ada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模拟退火+渲染双用途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内存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128GB DDR5 ECC（4×32GB）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多任务并行+大模型加载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存储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2TB NVMe SSD（系统+数据）+ 4TB SATA SSD（归档）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快速读写+大容量存储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主板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支持PCIe 5.0 x16，双槽GPU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保证GPU带宽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电源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1000W+ 金牌认证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稳定供电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机箱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中塔E-ATX，良好风道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散热保障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操作系统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Ubuntu 22.04/24.04 LTS 或 Windows 11 Pro for Workstations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</w:p>
        </w:tc>
      </w:tr>
    </w:tbl>
    <w:p>
      <w:pPr>
        <w:jc w:val="left"/>
      </w:pPr>
      <w:r>
        <w:rPr>
          <w:b/>
          <w:bCs/>
        </w:rPr>
        <w:t>参考型号</w:t>
      </w:r>
      <w:r>
        <w:rPr/>
        <w:t>：</w:t>
      </w:r>
    </w:p>
    <w:p>
      <w:pPr>
        <w:numPr>
          <w:ilvl w:val="0"/>
          <w:numId w:val="2"/>
        </w:numPr>
        <w:jc w:val="left"/>
      </w:pPr>
      <w:r>
        <w:rPr/>
        <w:t>工作站整机：HP Z8 Fury G5、Dell Precision 7960 Tower、Lenovo ThinkStation PX</w:t>
      </w:r>
    </w:p>
    <w:p>
      <w:pPr>
        <w:numPr>
          <w:ilvl w:val="0"/>
          <w:numId w:val="2"/>
        </w:numPr>
        <w:jc w:val="left"/>
      </w:pPr>
      <w:r>
        <w:rPr/>
        <w:t>GPU：NVIDIA RTX 5880 Ada Generation</w:t>
      </w:r>
    </w:p>
    <w:p>
      <w:pPr>
        <w:jc w:val="left"/>
      </w:pPr>
      <w:r>
        <w:rPr>
          <w:b/>
          <w:bCs/>
        </w:rPr>
        <w:t>预估造价</w:t>
      </w:r>
      <w:r>
        <w:rPr/>
        <w:t>：¥80,000-150,000</w:t>
      </w:r>
    </w:p>
    <w:p>
      <w:pPr>
        <w:pStyle w:val="5"/>
        <w:jc w:val="left"/>
      </w:pPr>
      <w:r>
        <w:rPr/>
        <w:t>3.2 场景二：中型企业级部署（5-20人并发）</w:t>
      </w:r>
    </w:p>
    <w:p>
      <w:pPr>
        <w:jc w:val="left"/>
      </w:pPr>
      <w:r>
        <w:rPr>
          <w:b/>
          <w:bCs/>
        </w:rPr>
        <w:t>适用对象</w:t>
      </w:r>
      <w:r>
        <w:rPr/>
        <w:t>：设计咨询机构、中型OEM设计部门、Tier-1供应商</w:t>
      </w:r>
    </w:p>
    <w:tbl>
      <w:tblPr>
        <w:tblStyle w:val="9"/>
        <w:tblW w:w="105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828"/>
        <w:gridCol w:w="4903"/>
        <w:gridCol w:w="2828"/>
      </w:tblGrid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组件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推荐配置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说明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CPU（双路）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2× Intel Xeon Platinum 8480+（56核/112线程）或 2× AMD EPYC 9755（128核/256线程）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高并发参数化建模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GPU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2-4× NVIDIA RTX 6000 Ada（48GB GDDR6 ECC）</w:t>
            </w:r>
            <w:r>
              <w:rPr/>
              <w:t xml:space="preserve"> 或 L40S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并行处理多用户优化请求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内存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512GB-1TB DDR5 ECC（16×32GB/64GB）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多会话隔离+缓存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存储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系统：2×960GB NVMe SSD（RAID 1）；数据：4×4TB NVMe SSD（RAID 10）；备份：8TB HDD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高可用+高性能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网络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双端口25GbE SFP28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高速数据传输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服务器机箱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2U/4U机架式，支持GPU散热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电源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冗余电源 2×2000W+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高可用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操作系统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Ubuntu 22.04/24.04 LTS + NVIDIA驱动 + CUDA 12.x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</w:p>
        </w:tc>
      </w:tr>
    </w:tbl>
    <w:p>
      <w:pPr>
        <w:jc w:val="left"/>
      </w:pPr>
      <w:r>
        <w:rPr>
          <w:b/>
          <w:bCs/>
        </w:rPr>
        <w:t>参考服务器型号</w:t>
      </w:r>
      <w:r>
        <w:rPr/>
        <w:t>：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Dell PowerEdge R760xa</w:t>
      </w:r>
      <w:r>
        <w:rPr/>
        <w:t>：2U机箱，支持</w:t>
      </w:r>
      <w:r>
        <w:rPr>
          <w:b/>
          <w:bCs/>
        </w:rPr>
        <w:t>4个双宽度GPU</w:t>
      </w:r>
      <w:r>
        <w:rPr/>
        <w:t>或12个单宽度GPU，配备双路Intel第四代至强处理器（多达56核心）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HPE ProLiant DL380 Gen11</w:t>
      </w:r>
      <w:r>
        <w:rPr/>
        <w:t>：支持</w:t>
      </w:r>
      <w:r>
        <w:rPr>
          <w:b/>
          <w:bCs/>
        </w:rPr>
        <w:t>多达8张单宽GPU或3张双宽GPU</w:t>
      </w:r>
      <w:r>
        <w:rPr/>
        <w:t>，搭载第四/五代Intel至强可扩展处理器</w:t>
      </w:r>
    </w:p>
    <w:p>
      <w:pPr>
        <w:jc w:val="left"/>
      </w:pPr>
      <w:r>
        <w:rPr>
          <w:b/>
          <w:bCs/>
        </w:rPr>
        <w:t>预估造价</w:t>
      </w:r>
      <w:r>
        <w:rPr/>
        <w:t>：¥300,000-800,000</w:t>
      </w:r>
    </w:p>
    <w:p>
      <w:pPr>
        <w:pStyle w:val="5"/>
        <w:jc w:val="left"/>
      </w:pPr>
      <w:r>
        <w:rPr/>
        <w:t>3.3 场景三：大型OEM企业级部署（20+人并发，含模型训练）</w:t>
      </w:r>
    </w:p>
    <w:p>
      <w:pPr>
        <w:jc w:val="left"/>
      </w:pPr>
      <w:r>
        <w:rPr>
          <w:b/>
          <w:bCs/>
        </w:rPr>
        <w:t>适用对象</w:t>
      </w:r>
      <w:r>
        <w:rPr/>
        <w:t>：大型整车厂、集团级设计中心</w:t>
      </w:r>
    </w:p>
    <w:tbl>
      <w:tblPr>
        <w:tblStyle w:val="9"/>
        <w:tblW w:w="105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277"/>
        <w:gridCol w:w="6005"/>
        <w:gridCol w:w="2277"/>
      </w:tblGrid>
      <w:tr>
        <w:tblPrEx/>
        <w:trPr>
          <w:trHeight w:val="396"/>
        </w:trPr>
        <w:tc>
          <w:tcPr>
            <w:tcW w:w="2277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组件</w:t>
            </w:r>
          </w:p>
        </w:tc>
        <w:tc>
          <w:tcPr>
            <w:tcW w:w="600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推荐配置</w:t>
            </w:r>
          </w:p>
        </w:tc>
        <w:tc>
          <w:tcPr>
            <w:tcW w:w="2277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说明</w:t>
            </w:r>
          </w:p>
        </w:tc>
      </w:tr>
      <w:tr>
        <w:tblPrEx/>
        <w:trPr>
          <w:trHeight w:val="396"/>
        </w:trPr>
        <w:tc>
          <w:tcPr>
            <w:tcW w:w="2277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CPU（双路）</w:t>
            </w:r>
          </w:p>
        </w:tc>
        <w:tc>
          <w:tcPr>
            <w:tcW w:w="6005" w:type="dxa"/>
            <w:vAlign w:val="top"/>
          </w:tcPr>
          <w:p>
            <w:pPr>
              <w:jc w:val="left"/>
            </w:pPr>
            <w:r>
              <w:rPr/>
              <w:t>2× AMD EPYC 9965（192核/384线程）或 2× Intel Xeon 6900系列</w:t>
            </w:r>
          </w:p>
        </w:tc>
        <w:tc>
          <w:tcPr>
            <w:tcW w:w="2277" w:type="dxa"/>
            <w:vAlign w:val="top"/>
          </w:tcPr>
          <w:p>
            <w:pPr>
              <w:jc w:val="left"/>
            </w:pPr>
            <w:r>
              <w:rPr/>
              <w:t>极致并行计算能力</w:t>
            </w:r>
          </w:p>
        </w:tc>
      </w:tr>
      <w:tr>
        <w:tblPrEx/>
        <w:trPr>
          <w:trHeight w:val="396"/>
        </w:trPr>
        <w:tc>
          <w:tcPr>
            <w:tcW w:w="2277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GPU</w:t>
            </w:r>
          </w:p>
        </w:tc>
        <w:tc>
          <w:tcPr>
            <w:tcW w:w="600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4-8× NVIDIA RTX PRO 6000 Blackwell（96GB GDDR7 ECC）</w:t>
            </w:r>
            <w:r>
              <w:rPr/>
              <w:t xml:space="preserve"> 或 H100 NVL</w:t>
            </w:r>
          </w:p>
        </w:tc>
        <w:tc>
          <w:tcPr>
            <w:tcW w:w="2277" w:type="dxa"/>
            <w:vAlign w:val="top"/>
          </w:tcPr>
          <w:p>
            <w:pPr>
              <w:jc w:val="left"/>
            </w:pPr>
            <w:r>
              <w:rPr/>
              <w:t>旗舰级AI训练+推理+渲染</w:t>
            </w:r>
          </w:p>
        </w:tc>
      </w:tr>
      <w:tr>
        <w:tblPrEx/>
        <w:trPr>
          <w:trHeight w:val="396"/>
        </w:trPr>
        <w:tc>
          <w:tcPr>
            <w:tcW w:w="2277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内存</w:t>
            </w:r>
          </w:p>
        </w:tc>
        <w:tc>
          <w:tcPr>
            <w:tcW w:w="6005" w:type="dxa"/>
            <w:vAlign w:val="top"/>
          </w:tcPr>
          <w:p>
            <w:pPr>
              <w:jc w:val="left"/>
            </w:pPr>
            <w:r>
              <w:rPr/>
              <w:t>1-2TB DDR5 ECC</w:t>
            </w:r>
          </w:p>
        </w:tc>
        <w:tc>
          <w:tcPr>
            <w:tcW w:w="2277" w:type="dxa"/>
            <w:vAlign w:val="top"/>
          </w:tcPr>
          <w:p>
            <w:pPr>
              <w:jc w:val="left"/>
            </w:pPr>
            <w:r>
              <w:rPr/>
              <w:t>大规模数据集+多模型</w:t>
            </w:r>
          </w:p>
        </w:tc>
      </w:tr>
      <w:tr>
        <w:tblPrEx/>
        <w:trPr>
          <w:trHeight w:val="396"/>
        </w:trPr>
        <w:tc>
          <w:tcPr>
            <w:tcW w:w="2277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存储</w:t>
            </w:r>
          </w:p>
        </w:tc>
        <w:tc>
          <w:tcPr>
            <w:tcW w:w="6005" w:type="dxa"/>
            <w:vAlign w:val="top"/>
          </w:tcPr>
          <w:p>
            <w:pPr>
              <w:jc w:val="left"/>
            </w:pPr>
            <w:r>
              <w:rPr/>
              <w:t>系统：2×960GB NVMe SSD（RAID 1）；热数据：8×8TB NVMe SSD（RAID 10）；冷数据：分布式存储（Ceph/MinIO）</w:t>
            </w:r>
          </w:p>
        </w:tc>
        <w:tc>
          <w:tcPr>
            <w:tcW w:w="2277" w:type="dxa"/>
            <w:vAlign w:val="top"/>
          </w:tcPr>
          <w:p>
            <w:pPr>
              <w:jc w:val="left"/>
            </w:pPr>
            <w:r>
              <w:rPr/>
              <w:t>分层存储架构</w:t>
            </w:r>
          </w:p>
        </w:tc>
      </w:tr>
      <w:tr>
        <w:tblPrEx/>
        <w:trPr>
          <w:trHeight w:val="396"/>
        </w:trPr>
        <w:tc>
          <w:tcPr>
            <w:tcW w:w="2277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网络</w:t>
            </w:r>
          </w:p>
        </w:tc>
        <w:tc>
          <w:tcPr>
            <w:tcW w:w="6005" w:type="dxa"/>
            <w:vAlign w:val="top"/>
          </w:tcPr>
          <w:p>
            <w:pPr>
              <w:jc w:val="left"/>
            </w:pPr>
            <w:r>
              <w:rPr/>
              <w:t>双端口100GbE / InfiniBand</w:t>
            </w:r>
          </w:p>
        </w:tc>
        <w:tc>
          <w:tcPr>
            <w:tcW w:w="2277" w:type="dxa"/>
            <w:vAlign w:val="top"/>
          </w:tcPr>
          <w:p>
            <w:pPr>
              <w:jc w:val="left"/>
            </w:pPr>
            <w:r>
              <w:rPr/>
              <w:t>高速集群互联</w:t>
            </w:r>
          </w:p>
        </w:tc>
      </w:tr>
      <w:tr>
        <w:tblPrEx/>
        <w:trPr>
          <w:trHeight w:val="396"/>
        </w:trPr>
        <w:tc>
          <w:tcPr>
            <w:tcW w:w="2277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服务器机箱</w:t>
            </w:r>
          </w:p>
        </w:tc>
        <w:tc>
          <w:tcPr>
            <w:tcW w:w="6005" w:type="dxa"/>
            <w:vAlign w:val="top"/>
          </w:tcPr>
          <w:p>
            <w:pPr>
              <w:jc w:val="left"/>
            </w:pPr>
            <w:r>
              <w:rPr/>
              <w:t>4U机架式，支持8个双宽度GPU</w:t>
            </w:r>
          </w:p>
        </w:tc>
        <w:tc>
          <w:tcPr>
            <w:tcW w:w="2277" w:type="dxa"/>
            <w:vAlign w:val="top"/>
          </w:tcPr>
          <w:p>
            <w:pPr>
              <w:jc w:val="left"/>
            </w:pPr>
          </w:p>
        </w:tc>
      </w:tr>
      <w:tr>
        <w:tblPrEx/>
        <w:trPr>
          <w:trHeight w:val="396"/>
        </w:trPr>
        <w:tc>
          <w:tcPr>
            <w:tcW w:w="2277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电源</w:t>
            </w:r>
          </w:p>
        </w:tc>
        <w:tc>
          <w:tcPr>
            <w:tcW w:w="6005" w:type="dxa"/>
            <w:vAlign w:val="top"/>
          </w:tcPr>
          <w:p>
            <w:pPr>
              <w:jc w:val="left"/>
            </w:pPr>
            <w:r>
              <w:rPr/>
              <w:t>冗余电源 4×3000W+</w:t>
            </w:r>
          </w:p>
        </w:tc>
        <w:tc>
          <w:tcPr>
            <w:tcW w:w="2277" w:type="dxa"/>
            <w:vAlign w:val="top"/>
          </w:tcPr>
          <w:p>
            <w:pPr>
              <w:jc w:val="left"/>
            </w:pPr>
          </w:p>
        </w:tc>
      </w:tr>
      <w:tr>
        <w:tblPrEx/>
        <w:trPr>
          <w:trHeight w:val="396"/>
        </w:trPr>
        <w:tc>
          <w:tcPr>
            <w:tcW w:w="2277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操作系统</w:t>
            </w:r>
          </w:p>
        </w:tc>
        <w:tc>
          <w:tcPr>
            <w:tcW w:w="6005" w:type="dxa"/>
            <w:vAlign w:val="top"/>
          </w:tcPr>
          <w:p>
            <w:pPr>
              <w:jc w:val="left"/>
            </w:pPr>
            <w:r>
              <w:rPr/>
              <w:t>Ubuntu 22.04/24.04 LTS + NVIDIA驱动 + CUDA 12.x + Kubernetes</w:t>
            </w:r>
          </w:p>
        </w:tc>
        <w:tc>
          <w:tcPr>
            <w:tcW w:w="2277" w:type="dxa"/>
            <w:vAlign w:val="top"/>
          </w:tcPr>
          <w:p>
            <w:pPr>
              <w:jc w:val="left"/>
            </w:pPr>
          </w:p>
        </w:tc>
      </w:tr>
    </w:tbl>
    <w:p>
      <w:pPr>
        <w:jc w:val="left"/>
      </w:pPr>
      <w:r>
        <w:rPr>
          <w:b/>
          <w:bCs/>
        </w:rPr>
        <w:t>参考服务器型号</w:t>
      </w:r>
      <w:r>
        <w:rPr/>
        <w:t>：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Supermicro SYS-422GA-NRT</w:t>
      </w:r>
      <w:r>
        <w:rPr/>
        <w:t>：4U机架式，支持</w:t>
      </w:r>
      <w:r>
        <w:rPr>
          <w:b/>
          <w:bCs/>
        </w:rPr>
        <w:t>多达8个双宽度600W PCIe GPU</w:t>
      </w:r>
      <w:r>
        <w:rPr/>
        <w:t>，包括NVIDIA H100 NVL、RTX PRO 6000 Blackwell等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Dell PowerEdge R760xa</w:t>
      </w:r>
      <w:r>
        <w:rPr/>
        <w:t>（多节点集群）：支持4个双宽度GPU/节点</w:t>
      </w:r>
    </w:p>
    <w:p>
      <w:pPr>
        <w:jc w:val="left"/>
      </w:pPr>
      <w:r>
        <w:rPr>
          <w:b/>
          <w:bCs/>
        </w:rPr>
        <w:t>预估造价</w:t>
      </w:r>
      <w:r>
        <w:rPr/>
        <w:t>：¥1,500,000-5,000,000+</w:t>
      </w:r>
    </w:p>
    <w:p>
      <w:pPr>
        <w:pStyle w:val="4"/>
        <w:jc w:val="left"/>
      </w:pPr>
      <w:r>
        <w:rPr/>
        <w:t>四、存储与网络辅助配置</w:t>
      </w:r>
    </w:p>
    <w:p>
      <w:pPr>
        <w:pStyle w:val="5"/>
        <w:jc w:val="left"/>
      </w:pPr>
      <w:r>
        <w:rPr/>
        <w:t>4.1 存储架构建议</w:t>
      </w:r>
    </w:p>
    <w:tbl>
      <w:tblPr>
        <w:tblStyle w:val="9"/>
        <w:tblW w:w="1038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595"/>
        <w:gridCol w:w="2595"/>
        <w:gridCol w:w="2595"/>
        <w:gridCol w:w="2595"/>
      </w:tblGrid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存储层级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用途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推荐方案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容量建议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热存储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当前项目、高频参数库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NVMe SSD（RAID 10）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2-8TB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温存储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历史项目、优化任务记录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SATA SSD / 高速HDD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10-50TB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冷存储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归档、备份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HDD / 对象存储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50TB+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模型存储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代理模型、品牌DNA模型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NVMe SSD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500GB-2TB</w:t>
            </w:r>
          </w:p>
        </w:tc>
      </w:tr>
    </w:tbl>
    <w:p>
      <w:pPr>
        <w:pStyle w:val="5"/>
        <w:jc w:val="left"/>
      </w:pPr>
      <w:r>
        <w:rPr/>
        <w:t>4.2 网络配置建议</w:t>
      </w:r>
    </w:p>
    <w:tbl>
      <w:tblPr>
        <w:tblStyle w:val="9"/>
        <w:tblW w:w="105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520"/>
        <w:gridCol w:w="3520"/>
        <w:gridCol w:w="3520"/>
      </w:tblGrid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场景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推荐网络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说明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单机工作站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1GbE / 10GbE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常规文件传输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小型服务器（2-4 GPU）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10-25GbE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多用户并发访问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大型集群（8+ GPU）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100GbE / InfiniBand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GPU间高速通信</w:t>
            </w:r>
          </w:p>
        </w:tc>
      </w:tr>
    </w:tbl>
    <w:p>
      <w:pPr>
        <w:pStyle w:val="4"/>
        <w:jc w:val="left"/>
      </w:pPr>
      <w:r>
        <w:rPr/>
        <w:t>五、配置方案对比总览</w:t>
      </w:r>
    </w:p>
    <w:tbl>
      <w:tblPr>
        <w:tblStyle w:val="9"/>
        <w:tblW w:w="1038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595"/>
        <w:gridCol w:w="2595"/>
        <w:gridCol w:w="2595"/>
        <w:gridCol w:w="2595"/>
      </w:tblGrid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维度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开发测试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中型企业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大型OEM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GPU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RTX 5880 Ada ×1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RTX 6000 Ada ×2-4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RTX PRO 6000 BW ×4-8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GPU显存总量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48GB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96-192GB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384-768GB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CPU核心数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16-24核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56-128核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192-384核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系统内存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128GB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512GB-1TB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1-2TB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存储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2TB NVMe + 4TB SATA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RAID 10 NVMe 8-16TB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分层存储 50TB+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网络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1-10GbE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10-25GbE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100GbE / InfiniBand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模拟退火加速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10-20x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20-40x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40x+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并发用户数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1-2人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5-20人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20+人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预估造价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¥8-15万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¥30-80万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¥150-500万+</w:t>
            </w:r>
          </w:p>
        </w:tc>
      </w:tr>
    </w:tbl>
    <w:p>
      <w:pPr>
        <w:pStyle w:val="4"/>
        <w:jc w:val="left"/>
      </w:pPr>
      <w:r>
        <w:rPr/>
        <w:t>六、部署建议与最佳实践</w:t>
      </w:r>
    </w:p>
    <w:p>
      <w:pPr>
        <w:pStyle w:val="5"/>
        <w:jc w:val="left"/>
      </w:pPr>
      <w:r>
        <w:rPr/>
        <w:t>6.1 分阶段部署策略</w:t>
      </w:r>
    </w:p>
    <w:p>
      <w:pPr>
        <w:numPr>
          <w:ilvl w:val="0"/>
          <w:numId w:val="3"/>
        </w:numPr>
        <w:jc w:val="left"/>
      </w:pPr>
      <w:r>
        <w:rPr>
          <w:b/>
          <w:bCs/>
        </w:rPr>
        <w:t>Phase 1（验证期）</w:t>
      </w:r>
      <w:r>
        <w:rPr/>
        <w:t xml:space="preserve"> ：采用开发测试配置（1台工作站+1×RTX 5880 Ada），验证算法效果与性能。</w:t>
      </w:r>
    </w:p>
    <w:p>
      <w:pPr>
        <w:numPr>
          <w:ilvl w:val="0"/>
          <w:numId w:val="3"/>
        </w:numPr>
        <w:jc w:val="left"/>
      </w:pPr>
      <w:r>
        <w:rPr>
          <w:b/>
          <w:bCs/>
        </w:rPr>
        <w:t>Phase 2（试点期）</w:t>
      </w:r>
      <w:r>
        <w:rPr/>
        <w:t xml:space="preserve"> ：升级至中型配置（2-4 GPU服务器），支撑5-10人团队并行使用。</w:t>
      </w:r>
    </w:p>
    <w:p>
      <w:pPr>
        <w:numPr>
          <w:ilvl w:val="0"/>
          <w:numId w:val="3"/>
        </w:numPr>
        <w:jc w:val="left"/>
      </w:pPr>
      <w:r>
        <w:rPr>
          <w:b/>
          <w:bCs/>
        </w:rPr>
        <w:t>Phase 3（规模化）</w:t>
      </w:r>
      <w:r>
        <w:rPr/>
        <w:t xml:space="preserve"> ：根据实际负载扩展至大型配置，引入集群管理与模型训练能力。</w:t>
      </w:r>
    </w:p>
    <w:p>
      <w:pPr>
        <w:pStyle w:val="5"/>
        <w:jc w:val="left"/>
      </w:pPr>
      <w:r>
        <w:rPr/>
        <w:t>6.2 关键技术建议</w:t>
      </w:r>
    </w:p>
    <w:p>
      <w:pPr>
        <w:numPr>
          <w:ilvl w:val="0"/>
          <w:numId w:val="4"/>
        </w:numPr>
        <w:jc w:val="left"/>
      </w:pPr>
      <w:r>
        <w:rPr>
          <w:b/>
          <w:bCs/>
        </w:rPr>
        <w:t>GPU虚拟化</w:t>
      </w:r>
      <w:r>
        <w:rPr/>
        <w:t>：对于多用户场景，建议启用NVIDIA vGPU（RTX 6000 Ada/L40S支持），将单卡划分为多个虚拟GPU实例。</w:t>
      </w:r>
    </w:p>
    <w:p>
      <w:pPr>
        <w:numPr>
          <w:ilvl w:val="0"/>
          <w:numId w:val="4"/>
        </w:numPr>
        <w:jc w:val="left"/>
      </w:pPr>
      <w:r>
        <w:rPr>
          <w:b/>
          <w:bCs/>
        </w:rPr>
        <w:t>容器化部署</w:t>
      </w:r>
      <w:r>
        <w:rPr/>
        <w:t>：使用Docker + Kubernetes封装各微服务（参数服务、优化服务、评估服务、渲染服务），便于弹性伸缩。</w:t>
      </w:r>
    </w:p>
    <w:p>
      <w:pPr>
        <w:numPr>
          <w:ilvl w:val="0"/>
          <w:numId w:val="4"/>
        </w:numPr>
        <w:jc w:val="left"/>
      </w:pPr>
      <w:r>
        <w:rPr>
          <w:b/>
          <w:bCs/>
        </w:rPr>
        <w:t>模型量化</w:t>
      </w:r>
      <w:r>
        <w:rPr/>
        <w:t>：对于推理场景，可采用FP8/INT8量化，在保持精度的前提下将推理速度提升2-4倍。</w:t>
      </w:r>
    </w:p>
    <w:p>
      <w:pPr>
        <w:numPr>
          <w:ilvl w:val="0"/>
          <w:numId w:val="4"/>
        </w:numPr>
        <w:jc w:val="left"/>
      </w:pPr>
      <w:r>
        <w:rPr>
          <w:b/>
          <w:bCs/>
        </w:rPr>
        <w:t>异步任务队列</w:t>
      </w:r>
      <w:r>
        <w:rPr/>
        <w:t>：AI优化任务采用异步队列（Redis + Celery），避免阻塞前端交互。</w:t>
      </w:r>
    </w:p>
    <w:p>
      <w:pPr>
        <w:pStyle w:val="5"/>
        <w:jc w:val="left"/>
      </w:pPr>
      <w:r>
        <w:rPr/>
        <w:t>6.3 成本优化提示</w:t>
      </w:r>
    </w:p>
    <w:p>
      <w:pPr>
        <w:numPr>
          <w:ilvl w:val="0"/>
          <w:numId w:val="2"/>
        </w:numPr>
        <w:jc w:val="left"/>
      </w:pPr>
      <w:r>
        <w:rPr/>
        <w:t>若预算有限，可</w:t>
      </w:r>
      <w:r>
        <w:rPr>
          <w:b/>
          <w:bCs/>
        </w:rPr>
        <w:t>优先保障GPU配置</w:t>
      </w:r>
      <w:r>
        <w:rPr/>
        <w:t>（模拟退火+渲染的核心瓶颈），CPU可适当降级</w:t>
      </w:r>
    </w:p>
    <w:p>
      <w:pPr>
        <w:numPr>
          <w:ilvl w:val="0"/>
          <w:numId w:val="2"/>
        </w:numPr>
        <w:jc w:val="left"/>
      </w:pPr>
      <w:r>
        <w:rPr/>
        <w:t>对于仅需参数化建模+质量评估的场景，可考虑</w:t>
      </w:r>
      <w:r>
        <w:rPr>
          <w:b/>
          <w:bCs/>
        </w:rPr>
        <w:t>纯CPU服务器</w:t>
      </w:r>
      <w:r>
        <w:rPr/>
        <w:t>（无GPU），成本降低50%以上</w:t>
      </w:r>
    </w:p>
    <w:p>
      <w:pPr>
        <w:numPr>
          <w:ilvl w:val="0"/>
          <w:numId w:val="2"/>
        </w:numPr>
        <w:jc w:val="left"/>
      </w:pPr>
      <w:r>
        <w:rPr/>
        <w:t>云上训练 + 本地推理的</w:t>
      </w:r>
      <w:r>
        <w:rPr>
          <w:b/>
          <w:bCs/>
        </w:rPr>
        <w:t>混合部署模式</w:t>
      </w:r>
      <w:r>
        <w:rPr/>
        <w:t>，可进一步降低初期投入</w:t>
      </w:r>
    </w:p>
    <w:p>
      <w:pPr>
        <w:jc w:val="left"/>
      </w:pPr>
    </w:p>
    <w:sectPr>
      <w:pgSz w:w="19266" w:h="16838" w:orient="portrait"/>
      <w:pgMar w:top="1440" w:right="916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abstractNum w:abstractNumId="3">
    <w:nsid w:val="20000003"/>
    <w:multiLevelType w:val="multilevel"/>
    <w:tmpl w:val="20000003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abstractNum w:abstractNumId="4">
    <w:nsid w:val="20000004"/>
    <w:multiLevelType w:val="multilevel"/>
    <w:tmpl w:val="20000004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2026-06-28T21:04:45Z</dcterms:created>
  <dcterms:modified xsi:type="dcterms:W3CDTF">2026-06-28T21:04:45Z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