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39E9" w14:textId="77777777" w:rsidR="000F5837" w:rsidRDefault="00000000">
      <w:pPr>
        <w:pStyle w:val="Heading1"/>
      </w:pPr>
      <w:bookmarkStart w:id="0" w:name="evolution-mine-executive-summary-v1.0"/>
      <w:r>
        <w:t>Evolution Mine — Executive Summary (v1.0)</w:t>
      </w:r>
    </w:p>
    <w:p w14:paraId="310E86E6" w14:textId="77777777" w:rsidR="000F5837" w:rsidRDefault="00000000">
      <w:pPr>
        <w:pStyle w:val="FirstParagraph"/>
      </w:pPr>
      <w:r>
        <w:rPr>
          <w:b/>
          <w:bCs/>
        </w:rPr>
        <w:t>Subtitle:</w:t>
      </w:r>
      <w:r>
        <w:t xml:space="preserve"> Two plants can end poverty, corruption, outsourcing—and chemicals.</w:t>
      </w:r>
    </w:p>
    <w:p w14:paraId="1559E493" w14:textId="77777777" w:rsidR="000F5837" w:rsidRDefault="00000000">
      <w:pPr>
        <w:pStyle w:val="BodyText"/>
      </w:pPr>
      <w:r>
        <w:rPr>
          <w:b/>
          <w:bCs/>
        </w:rPr>
        <w:t>Author:</w:t>
      </w:r>
      <w:r>
        <w:t xml:space="preserve"> Eric Stevens</w:t>
      </w:r>
      <w:r>
        <w:br/>
      </w:r>
      <w:r>
        <w:rPr>
          <w:b/>
          <w:bCs/>
        </w:rPr>
        <w:t>Formats:</w:t>
      </w:r>
      <w:r>
        <w:t xml:space="preserve"> Paperback $19.99 • Kindle $8.99</w:t>
      </w:r>
      <w:r>
        <w:br/>
      </w:r>
      <w:r>
        <w:rPr>
          <w:b/>
          <w:bCs/>
        </w:rPr>
        <w:t>Project Site:</w:t>
      </w:r>
      <w:r>
        <w:t xml:space="preserve"> NowWeEvolve.com</w:t>
      </w:r>
      <w:r>
        <w:br/>
      </w:r>
      <w:r>
        <w:rPr>
          <w:b/>
          <w:bCs/>
        </w:rPr>
        <w:t>Educator Pack (Zenodo DOI):</w:t>
      </w:r>
      <w:r>
        <w:t xml:space="preserve"> </w:t>
      </w:r>
      <w:r>
        <w:rPr>
          <w:i/>
          <w:iCs/>
        </w:rPr>
        <w:t>to be added</w:t>
      </w:r>
    </w:p>
    <w:p w14:paraId="34A285AA" w14:textId="77777777" w:rsidR="000F5837" w:rsidRDefault="00000000">
      <w:r>
        <w:pict w14:anchorId="4AB33FAE">
          <v:rect id="_x0000_i1025" style="width:0;height:1.5pt" o:hralign="center" o:hrstd="t" o:hr="t"/>
        </w:pict>
      </w:r>
    </w:p>
    <w:p w14:paraId="59EE8F51" w14:textId="77777777" w:rsidR="000F5837" w:rsidRDefault="00000000">
      <w:pPr>
        <w:pStyle w:val="Heading2"/>
      </w:pPr>
      <w:bookmarkStart w:id="1" w:name="the-big-idea-1-page"/>
      <w:r>
        <w:t>1) The Big Idea (1 page)</w:t>
      </w:r>
    </w:p>
    <w:p w14:paraId="2FFCF7FC" w14:textId="77777777" w:rsidR="000F5837" w:rsidRDefault="00000000" w:rsidP="00F70760">
      <w:pPr>
        <w:pStyle w:val="FirstParagraph"/>
        <w:jc w:val="both"/>
      </w:pPr>
      <w:r>
        <w:rPr>
          <w:b/>
          <w:bCs/>
        </w:rPr>
        <w:t>Short version:</w:t>
      </w:r>
      <w:r>
        <w:t xml:space="preserve"> The petrochemical economy didn’t “happen.” It was built—through policy judo, offshoring, and PR. We can unbuild it by replacing fossil inputs with </w:t>
      </w:r>
      <w:r>
        <w:rPr>
          <w:b/>
          <w:bCs/>
        </w:rPr>
        <w:t>hemp and bamboo</w:t>
      </w:r>
      <w:r>
        <w:t>, then using the same incentives, logistics discipline, and capital markets to scale a bio‑based industrial core.</w:t>
      </w:r>
    </w:p>
    <w:p w14:paraId="16C2450F" w14:textId="77777777" w:rsidR="000F5837" w:rsidRDefault="00000000" w:rsidP="00F70760">
      <w:pPr>
        <w:pStyle w:val="BodyText"/>
        <w:jc w:val="both"/>
      </w:pPr>
      <w:r>
        <w:rPr>
          <w:b/>
          <w:bCs/>
        </w:rPr>
        <w:t>Who this is for:</w:t>
      </w:r>
      <w:r>
        <w:t xml:space="preserve"> Consumers (especially women who steer household spend), operators, investors, teachers, mayors, and anyone tired of buying products that poison the supply chain they depend on.</w:t>
      </w:r>
    </w:p>
    <w:p w14:paraId="35E00101" w14:textId="77777777" w:rsidR="000F5837" w:rsidRDefault="00000000" w:rsidP="00F70760">
      <w:pPr>
        <w:pStyle w:val="BodyText"/>
        <w:jc w:val="both"/>
      </w:pPr>
      <w:r>
        <w:rPr>
          <w:b/>
          <w:bCs/>
        </w:rPr>
        <w:t>What’s new:</w:t>
      </w:r>
      <w:r>
        <w:t xml:space="preserve"> We don’t just protest; we </w:t>
      </w:r>
      <w:r>
        <w:rPr>
          <w:b/>
          <w:bCs/>
        </w:rPr>
        <w:t>out‑operate</w:t>
      </w:r>
      <w:r>
        <w:t xml:space="preserve">. We replace extractive inputs with plant‑based ones at the choke points that matter: processing, certification, and offtake. We combine </w:t>
      </w:r>
      <w:r>
        <w:rPr>
          <w:b/>
          <w:bCs/>
        </w:rPr>
        <w:t>demand creation</w:t>
      </w:r>
      <w:r>
        <w:t xml:space="preserve"> (consumer choice + labeling), </w:t>
      </w:r>
      <w:r>
        <w:rPr>
          <w:b/>
          <w:bCs/>
        </w:rPr>
        <w:t>supply control</w:t>
      </w:r>
      <w:r>
        <w:t xml:space="preserve"> (processors), and </w:t>
      </w:r>
      <w:r>
        <w:rPr>
          <w:b/>
          <w:bCs/>
        </w:rPr>
        <w:t>legal/financial pressure</w:t>
      </w:r>
      <w:r>
        <w:t xml:space="preserve"> (litigation &amp; incentives) into a single operating plan.</w:t>
      </w:r>
    </w:p>
    <w:p w14:paraId="6D9351D0" w14:textId="77777777" w:rsidR="000F5837" w:rsidRDefault="00000000" w:rsidP="00F70760">
      <w:pPr>
        <w:pStyle w:val="BodyText"/>
        <w:jc w:val="both"/>
      </w:pPr>
      <w:r>
        <w:rPr>
          <w:b/>
          <w:bCs/>
        </w:rPr>
        <w:t>Promise:</w:t>
      </w:r>
      <w:r>
        <w:t xml:space="preserve"> When the materials change, the money flows change. Change the feedstock, you change the future.</w:t>
      </w:r>
    </w:p>
    <w:p w14:paraId="47B67938" w14:textId="77777777" w:rsidR="000F5837" w:rsidRDefault="00000000" w:rsidP="00F70760">
      <w:pPr>
        <w:jc w:val="both"/>
      </w:pPr>
      <w:r>
        <w:pict w14:anchorId="599EC256">
          <v:rect id="_x0000_i1026" style="width:0;height:1.5pt" o:hralign="center" o:hrstd="t" o:hr="t"/>
        </w:pict>
      </w:r>
    </w:p>
    <w:p w14:paraId="3E553F79" w14:textId="720CB106" w:rsidR="000F5837" w:rsidRDefault="00000000">
      <w:pPr>
        <w:pStyle w:val="Heading2"/>
      </w:pPr>
      <w:bookmarkStart w:id="2" w:name="the-petrochemical-playbook-1-page"/>
      <w:bookmarkEnd w:id="1"/>
      <w:r>
        <w:t>2) The Petrochemical Playbook</w:t>
      </w:r>
    </w:p>
    <w:p w14:paraId="1982EC7F" w14:textId="77777777" w:rsidR="00043C54" w:rsidRDefault="00000000" w:rsidP="00043C54">
      <w:pPr>
        <w:pStyle w:val="FirstParagraph"/>
        <w:jc w:val="both"/>
      </w:pPr>
      <w:r>
        <w:rPr>
          <w:b/>
          <w:bCs/>
        </w:rPr>
        <w:t>How we got here:</w:t>
      </w:r>
      <w:r>
        <w:t xml:space="preserve"> - </w:t>
      </w:r>
      <w:r>
        <w:rPr>
          <w:b/>
          <w:bCs/>
        </w:rPr>
        <w:t>Regulatory Mirage:</w:t>
      </w:r>
      <w:r>
        <w:t xml:space="preserve"> Environmental and labor protections at home, dirty manufacturing </w:t>
      </w:r>
      <w:proofErr w:type="gramStart"/>
      <w:r>
        <w:t>offshored</w:t>
      </w:r>
      <w:proofErr w:type="gramEnd"/>
      <w:r>
        <w:t xml:space="preserve"> abroad. The planet still pays; we just moved the chimney.</w:t>
      </w:r>
    </w:p>
    <w:p w14:paraId="71D5F84A" w14:textId="77777777" w:rsidR="00043C54" w:rsidRDefault="00000000" w:rsidP="00043C54">
      <w:pPr>
        <w:pStyle w:val="FirstParagraph"/>
        <w:jc w:val="both"/>
      </w:pPr>
      <w:r>
        <w:br/>
        <w:t xml:space="preserve">- </w:t>
      </w:r>
      <w:r>
        <w:rPr>
          <w:b/>
          <w:bCs/>
        </w:rPr>
        <w:t>Finance &amp; Scale:</w:t>
      </w:r>
      <w:r>
        <w:t xml:space="preserve"> Policy‑sweetened capex, export credits, and military protection of shipping lanes—baked into product pricing for decades.</w:t>
      </w:r>
    </w:p>
    <w:p w14:paraId="08520948" w14:textId="77777777" w:rsidR="00043C54" w:rsidRDefault="00000000" w:rsidP="00043C54">
      <w:pPr>
        <w:pStyle w:val="FirstParagraph"/>
        <w:jc w:val="both"/>
      </w:pPr>
      <w:r>
        <w:t xml:space="preserve">- </w:t>
      </w:r>
      <w:r>
        <w:rPr>
          <w:b/>
          <w:bCs/>
        </w:rPr>
        <w:t>PR &amp; Distraction:</w:t>
      </w:r>
      <w:r>
        <w:t xml:space="preserve"> Astro‑turfed “energy literacy,” corporate social campaigns, and green labels that hide polymer reality.</w:t>
      </w:r>
    </w:p>
    <w:p w14:paraId="6770CE89" w14:textId="4E3AC375" w:rsidR="000F5837" w:rsidRDefault="00000000" w:rsidP="00043C54">
      <w:pPr>
        <w:pStyle w:val="FirstParagraph"/>
        <w:jc w:val="both"/>
      </w:pPr>
      <w:r>
        <w:lastRenderedPageBreak/>
        <w:t xml:space="preserve">- </w:t>
      </w:r>
      <w:r>
        <w:rPr>
          <w:b/>
          <w:bCs/>
        </w:rPr>
        <w:t>Consumer Trap:</w:t>
      </w:r>
      <w:r>
        <w:t xml:space="preserve"> Minimal transparency; no “chemical facts” panel; no digital product passport to follow what’s </w:t>
      </w:r>
      <w:proofErr w:type="gramStart"/>
      <w:r>
        <w:t>actually in</w:t>
      </w:r>
      <w:proofErr w:type="gramEnd"/>
      <w:r>
        <w:t xml:space="preserve"> our stuff.</w:t>
      </w:r>
    </w:p>
    <w:p w14:paraId="6DB045D8" w14:textId="6D2F0AFE" w:rsidR="000F5837" w:rsidRDefault="00000000" w:rsidP="00043C54">
      <w:pPr>
        <w:pStyle w:val="BodyText"/>
        <w:jc w:val="both"/>
      </w:pPr>
      <w:r>
        <w:rPr>
          <w:b/>
          <w:bCs/>
        </w:rPr>
        <w:t>The result:</w:t>
      </w:r>
      <w:r>
        <w:t xml:space="preserve"> A high‑margin, slow‑burn consumption model where petrochemicals outlast combustibles. That’s not an accident</w:t>
      </w:r>
      <w:r w:rsidR="00043C54">
        <w:t xml:space="preserve">; </w:t>
      </w:r>
      <w:r>
        <w:t>it’s the strategy.</w:t>
      </w:r>
    </w:p>
    <w:p w14:paraId="1E7454C6" w14:textId="77777777" w:rsidR="000F5837" w:rsidRDefault="00000000" w:rsidP="00F70760">
      <w:pPr>
        <w:jc w:val="both"/>
      </w:pPr>
      <w:r>
        <w:pict w14:anchorId="3A924C10">
          <v:rect id="_x0000_i1027" style="width:0;height:1.5pt" o:hralign="center" o:hrstd="t" o:hr="t"/>
        </w:pict>
      </w:r>
    </w:p>
    <w:p w14:paraId="6FE4F995" w14:textId="1E5D081B" w:rsidR="000F5837" w:rsidRDefault="00000000">
      <w:pPr>
        <w:pStyle w:val="Heading2"/>
      </w:pPr>
      <w:bookmarkStart w:id="3" w:name="evidence-highlights-1-page"/>
      <w:bookmarkEnd w:id="2"/>
      <w:r>
        <w:t xml:space="preserve">3) Evidence Highlights </w:t>
      </w:r>
    </w:p>
    <w:p w14:paraId="5E0EFC5B" w14:textId="77777777" w:rsidR="00043C54" w:rsidRDefault="00000000" w:rsidP="00043C54">
      <w:pPr>
        <w:pStyle w:val="FirstParagraph"/>
        <w:jc w:val="both"/>
      </w:pPr>
      <w:r>
        <w:rPr>
          <w:i/>
          <w:iCs/>
        </w:rPr>
        <w:t>(Full citations live in the Open Evidence Pack.)</w:t>
      </w:r>
      <w:r>
        <w:t xml:space="preserve"> - Post‑war policy &amp; finance fused to protect oil corridors and offshored industry.</w:t>
      </w:r>
    </w:p>
    <w:p w14:paraId="7931FD19" w14:textId="7FF427FD" w:rsidR="00043C54" w:rsidRDefault="00000000" w:rsidP="00043C54">
      <w:pPr>
        <w:pStyle w:val="FirstParagraph"/>
        <w:jc w:val="both"/>
      </w:pPr>
      <w:r>
        <w:t>- Natural‑fiber composites already used in automotive interiors; 10–20+ kg per vehicle is common.</w:t>
      </w:r>
      <w:r>
        <w:br/>
        <w:t xml:space="preserve">- Industrial hemp &amp; bamboo deliver </w:t>
      </w:r>
      <w:r>
        <w:rPr>
          <w:b/>
          <w:bCs/>
        </w:rPr>
        <w:t>lighter weight, lower VOCs, and strong LCA wins</w:t>
      </w:r>
      <w:r>
        <w:t xml:space="preserve"> in panels, packaging, textiles, and filtration.</w:t>
      </w:r>
    </w:p>
    <w:p w14:paraId="10261C3C" w14:textId="77777777" w:rsidR="00043C54" w:rsidRDefault="00000000" w:rsidP="00043C54">
      <w:pPr>
        <w:pStyle w:val="FirstParagraph"/>
        <w:jc w:val="both"/>
      </w:pPr>
      <w:r>
        <w:t xml:space="preserve">- U.S. incentives (e.g., </w:t>
      </w:r>
      <w:r>
        <w:rPr>
          <w:b/>
          <w:bCs/>
        </w:rPr>
        <w:t>45X</w:t>
      </w:r>
      <w:r>
        <w:t>, LPO, USDA, EDA) now materially lower capex/opex for domestic, non‑FEOC supply chains.</w:t>
      </w:r>
    </w:p>
    <w:p w14:paraId="5FD5484D" w14:textId="77777777" w:rsidR="00043C54" w:rsidRDefault="00000000" w:rsidP="00043C54">
      <w:pPr>
        <w:pStyle w:val="FirstParagraph"/>
        <w:jc w:val="both"/>
      </w:pPr>
      <w:r>
        <w:t>- PR firms and trade groups have repeatedly shaped public perception with fossil‑funded campaigns—documented by filings and disclosures.</w:t>
      </w:r>
    </w:p>
    <w:p w14:paraId="3E47B82C" w14:textId="144393D5" w:rsidR="000F5837" w:rsidRPr="00F70760" w:rsidRDefault="00000000" w:rsidP="00043C54">
      <w:pPr>
        <w:pStyle w:val="FirstParagraph"/>
        <w:jc w:val="both"/>
        <w:rPr>
          <w:b/>
          <w:bCs/>
        </w:rPr>
      </w:pPr>
      <w:r>
        <w:t>- Women control the majority of consumer spend; product substitution at retail can flip upstream demand faster than policy alone.</w:t>
      </w:r>
    </w:p>
    <w:p w14:paraId="60715151" w14:textId="77777777" w:rsidR="000F5837" w:rsidRDefault="00000000" w:rsidP="00F70760">
      <w:r>
        <w:pict w14:anchorId="197CCE18">
          <v:rect id="_x0000_i1028" style="width:0;height:1.5pt" o:hrstd="t" o:hr="t"/>
        </w:pict>
      </w:r>
    </w:p>
    <w:p w14:paraId="76496863" w14:textId="4270A595" w:rsidR="000F5837" w:rsidRDefault="00000000">
      <w:pPr>
        <w:pStyle w:val="Heading2"/>
      </w:pPr>
      <w:bookmarkStart w:id="4" w:name="Xbc10256d970dd6dcaecbc5091727b8658bda99d"/>
      <w:bookmarkEnd w:id="3"/>
      <w:r>
        <w:t xml:space="preserve">4) </w:t>
      </w:r>
      <w:proofErr w:type="gramStart"/>
      <w:r>
        <w:t>The Alternative</w:t>
      </w:r>
      <w:proofErr w:type="gramEnd"/>
      <w:r>
        <w:t xml:space="preserve">: Hemp &amp; Bamboo at Industrial Scale </w:t>
      </w:r>
    </w:p>
    <w:p w14:paraId="5C37E062" w14:textId="77777777" w:rsidR="00043C54" w:rsidRDefault="00000000" w:rsidP="00043C54">
      <w:pPr>
        <w:pStyle w:val="FirstParagraph"/>
        <w:jc w:val="both"/>
      </w:pPr>
      <w:r>
        <w:rPr>
          <w:b/>
          <w:bCs/>
        </w:rPr>
        <w:t>Why hemp:</w:t>
      </w:r>
      <w:r>
        <w:t xml:space="preserve"> Fast‑growing, low input, strong bast fiber plus woody </w:t>
      </w:r>
      <w:proofErr w:type="gramStart"/>
      <w:r>
        <w:t>hurd by‑product</w:t>
      </w:r>
      <w:proofErr w:type="gramEnd"/>
      <w:r>
        <w:t xml:space="preserve">. Works in </w:t>
      </w:r>
      <w:r>
        <w:rPr>
          <w:b/>
          <w:bCs/>
        </w:rPr>
        <w:t>nonwovens, injection‑molded composites, molded interiors, boards, insulation</w:t>
      </w:r>
      <w:r>
        <w:t>.</w:t>
      </w:r>
      <w:r>
        <w:br/>
      </w:r>
      <w:r>
        <w:rPr>
          <w:b/>
          <w:bCs/>
        </w:rPr>
        <w:t>Why bamboo (Moso):</w:t>
      </w:r>
      <w:r>
        <w:t xml:space="preserve"> Perennial yield monster; high tensile strength; ideal for </w:t>
      </w:r>
      <w:r>
        <w:rPr>
          <w:b/>
          <w:bCs/>
        </w:rPr>
        <w:t>engineered panels, textiles, filters, biopolymer blends</w:t>
      </w:r>
      <w:r>
        <w:t>.</w:t>
      </w:r>
    </w:p>
    <w:p w14:paraId="3CF60388" w14:textId="77777777" w:rsidR="00043C54" w:rsidRDefault="00000000" w:rsidP="00043C54">
      <w:pPr>
        <w:pStyle w:val="FirstParagraph"/>
        <w:jc w:val="both"/>
      </w:pPr>
      <w:r>
        <w:rPr>
          <w:b/>
          <w:bCs/>
        </w:rPr>
        <w:t>Material ladder:</w:t>
      </w:r>
      <w:r>
        <w:t xml:space="preserve"> </w:t>
      </w:r>
    </w:p>
    <w:p w14:paraId="5CC10029" w14:textId="55C9E228" w:rsidR="00043C54" w:rsidRDefault="00000000" w:rsidP="00043C54">
      <w:pPr>
        <w:pStyle w:val="FirstParagraph"/>
        <w:jc w:val="both"/>
      </w:pPr>
      <w:r>
        <w:t xml:space="preserve">1. </w:t>
      </w:r>
      <w:r>
        <w:rPr>
          <w:b/>
          <w:bCs/>
        </w:rPr>
        <w:t>Bulk markets</w:t>
      </w:r>
      <w:r>
        <w:t xml:space="preserve"> (bedding cores, particleboard, molded packaging) – fast cash flow.</w:t>
      </w:r>
    </w:p>
    <w:p w14:paraId="1BBDB56E" w14:textId="77777777" w:rsidR="00043C54" w:rsidRDefault="00000000" w:rsidP="00043C54">
      <w:pPr>
        <w:pStyle w:val="FirstParagraph"/>
        <w:jc w:val="both"/>
      </w:pPr>
      <w:r>
        <w:t xml:space="preserve">2. </w:t>
      </w:r>
      <w:r>
        <w:rPr>
          <w:b/>
          <w:bCs/>
        </w:rPr>
        <w:t>Automotive interiors</w:t>
      </w:r>
      <w:r>
        <w:t xml:space="preserve"> (PP/PB composites with bast reinforcement) – higher QA, better margins.</w:t>
      </w:r>
    </w:p>
    <w:p w14:paraId="7936A79B" w14:textId="57E5EDE3" w:rsidR="000F5837" w:rsidRDefault="00000000" w:rsidP="00043C54">
      <w:pPr>
        <w:pStyle w:val="FirstParagraph"/>
        <w:jc w:val="both"/>
      </w:pPr>
      <w:r>
        <w:t xml:space="preserve">3. </w:t>
      </w:r>
      <w:r>
        <w:rPr>
          <w:b/>
          <w:bCs/>
        </w:rPr>
        <w:t>Advanced composites &amp; energy</w:t>
      </w:r>
      <w:r>
        <w:t xml:space="preserve"> (bamboo‑graphene blends, filtration) – highest margins, most certification.</w:t>
      </w:r>
    </w:p>
    <w:p w14:paraId="40C8D913" w14:textId="77777777" w:rsidR="000F5837" w:rsidRDefault="00000000">
      <w:r>
        <w:pict w14:anchorId="63FB1EBF">
          <v:rect id="_x0000_i1029" style="width:0;height:1.5pt" o:hralign="center" o:hrstd="t" o:hr="t"/>
        </w:pict>
      </w:r>
    </w:p>
    <w:p w14:paraId="743C79CD" w14:textId="768D1B4B" w:rsidR="000F5837" w:rsidRDefault="00000000">
      <w:pPr>
        <w:pStyle w:val="Heading2"/>
      </w:pPr>
      <w:bookmarkStart w:id="5" w:name="Xb18a73de1a1f7a762858907c456cc5f415153d1"/>
      <w:bookmarkEnd w:id="4"/>
      <w:r>
        <w:lastRenderedPageBreak/>
        <w:t xml:space="preserve">5) Operator Plan: Own the Choke Points </w:t>
      </w:r>
    </w:p>
    <w:p w14:paraId="4F19ADC0" w14:textId="77777777" w:rsidR="000F5837" w:rsidRDefault="00000000" w:rsidP="00043C54">
      <w:pPr>
        <w:pStyle w:val="FirstParagraph"/>
        <w:jc w:val="both"/>
      </w:pPr>
      <w:r>
        <w:rPr>
          <w:b/>
          <w:bCs/>
        </w:rPr>
        <w:t>Thesis:</w:t>
      </w:r>
      <w:r>
        <w:t xml:space="preserve"> Control processing → set specs → guarantee offtake. Farms and OEMs become price‑takers when </w:t>
      </w:r>
      <w:r>
        <w:rPr>
          <w:b/>
          <w:bCs/>
        </w:rPr>
        <w:t>you run the processor</w:t>
      </w:r>
      <w:r>
        <w:t>.</w:t>
      </w:r>
    </w:p>
    <w:p w14:paraId="0A16F488" w14:textId="77777777" w:rsidR="00043C54" w:rsidRDefault="00000000" w:rsidP="00043C54">
      <w:pPr>
        <w:pStyle w:val="BodyText"/>
        <w:jc w:val="both"/>
      </w:pPr>
      <w:r>
        <w:rPr>
          <w:b/>
          <w:bCs/>
        </w:rPr>
        <w:t>Phased rollout:</w:t>
      </w:r>
      <w:r>
        <w:t xml:space="preserve"> - </w:t>
      </w:r>
      <w:r>
        <w:rPr>
          <w:b/>
          <w:bCs/>
        </w:rPr>
        <w:t>Plant 1 (Year 1–2):</w:t>
      </w:r>
      <w:r>
        <w:t xml:space="preserve"> Decortication + size‑reduction + QC lab. Base cash flow from bedding/board; start automotive qual.</w:t>
      </w:r>
    </w:p>
    <w:p w14:paraId="5858E9DF" w14:textId="77777777" w:rsidR="00043C54" w:rsidRDefault="00000000" w:rsidP="00043C54">
      <w:pPr>
        <w:pStyle w:val="BodyText"/>
        <w:jc w:val="both"/>
      </w:pPr>
      <w:r>
        <w:t xml:space="preserve">- </w:t>
      </w:r>
      <w:r>
        <w:rPr>
          <w:b/>
          <w:bCs/>
        </w:rPr>
        <w:t>Plant 2–3 (Year 2–4):</w:t>
      </w:r>
      <w:r>
        <w:t xml:space="preserve"> Bolt‑on processors; expand logistics, moisture control, and bale traceability; secure Tier‑1 contracts.</w:t>
      </w:r>
    </w:p>
    <w:p w14:paraId="272B7764" w14:textId="6610FDEE" w:rsidR="000F5837" w:rsidRDefault="00000000" w:rsidP="00043C54">
      <w:pPr>
        <w:pStyle w:val="BodyText"/>
        <w:jc w:val="both"/>
      </w:pPr>
      <w:r>
        <w:t xml:space="preserve">- </w:t>
      </w:r>
      <w:r>
        <w:rPr>
          <w:b/>
          <w:bCs/>
        </w:rPr>
        <w:t>Certification ladder:</w:t>
      </w:r>
      <w:r>
        <w:t xml:space="preserve"> CARB/TSCA → ISO 9001 → IATF 16949 for auto; part‑specific tests (flammability, odor, VOC, modulus).</w:t>
      </w:r>
    </w:p>
    <w:p w14:paraId="5DFA96D3" w14:textId="77777777" w:rsidR="00043C54" w:rsidRDefault="00000000" w:rsidP="00043C54">
      <w:pPr>
        <w:pStyle w:val="BodyText"/>
        <w:jc w:val="both"/>
      </w:pPr>
      <w:r>
        <w:rPr>
          <w:b/>
          <w:bCs/>
        </w:rPr>
        <w:t>Numbers that anchor the story:</w:t>
      </w:r>
      <w:r>
        <w:t xml:space="preserve"> - Full‑size pickup program: ~300k trucks/year ≈ </w:t>
      </w:r>
      <w:r>
        <w:rPr>
          <w:b/>
          <w:bCs/>
        </w:rPr>
        <w:t>~5,000 metric tons</w:t>
      </w:r>
      <w:r>
        <w:t xml:space="preserve"> bast fiber/yr.</w:t>
      </w:r>
    </w:p>
    <w:p w14:paraId="49900C99" w14:textId="717907CC" w:rsidR="000F5837" w:rsidRDefault="00000000" w:rsidP="00043C54">
      <w:pPr>
        <w:pStyle w:val="BodyText"/>
        <w:jc w:val="both"/>
      </w:pPr>
      <w:r>
        <w:t xml:space="preserve">- Hemp yield: </w:t>
      </w:r>
      <w:r>
        <w:rPr>
          <w:b/>
          <w:bCs/>
        </w:rPr>
        <w:t>~2–3 t</w:t>
      </w:r>
      <w:r>
        <w:t xml:space="preserve"> bast fiber/acre → </w:t>
      </w:r>
      <w:r>
        <w:rPr>
          <w:b/>
          <w:bCs/>
        </w:rPr>
        <w:t>~2,000–2,500 acres</w:t>
      </w:r>
      <w:r>
        <w:t xml:space="preserve"> feeds one truck plant.</w:t>
      </w:r>
      <w:r>
        <w:br/>
        <w:t xml:space="preserve">- Bamboo (mature): </w:t>
      </w:r>
      <w:r>
        <w:rPr>
          <w:b/>
          <w:bCs/>
        </w:rPr>
        <w:t>~12–15 t</w:t>
      </w:r>
      <w:r>
        <w:t xml:space="preserve"> dry fiber/acre/yr → </w:t>
      </w:r>
      <w:r>
        <w:rPr>
          <w:b/>
          <w:bCs/>
        </w:rPr>
        <w:t>~400–420 acres</w:t>
      </w:r>
      <w:r>
        <w:t xml:space="preserve"> equivalent (after 4–</w:t>
      </w:r>
      <w:proofErr w:type="gramStart"/>
      <w:r>
        <w:t>5 year</w:t>
      </w:r>
      <w:proofErr w:type="gramEnd"/>
      <w:r>
        <w:t xml:space="preserve"> establishment).</w:t>
      </w:r>
      <w:r>
        <w:br/>
        <w:t>- Balanced supply: Hemp covers years 1–4; bamboo takes over at maturity; hurd monetized in bulk markets throughout.</w:t>
      </w:r>
    </w:p>
    <w:p w14:paraId="3640182F" w14:textId="77777777" w:rsidR="000F5837" w:rsidRDefault="00000000">
      <w:r>
        <w:pict w14:anchorId="33D76FC9">
          <v:rect id="_x0000_i1030" style="width:0;height:1.5pt" o:hralign="center" o:hrstd="t" o:hr="t"/>
        </w:pict>
      </w:r>
    </w:p>
    <w:p w14:paraId="53EC8B4E" w14:textId="77777777" w:rsidR="000F5837" w:rsidRDefault="00000000">
      <w:pPr>
        <w:pStyle w:val="Heading2"/>
      </w:pPr>
      <w:bookmarkStart w:id="6" w:name="policy-incentive-stack-1-page"/>
      <w:bookmarkEnd w:id="5"/>
      <w:r>
        <w:t>6) Policy &amp; Incentive Stack (1 page)</w:t>
      </w:r>
    </w:p>
    <w:p w14:paraId="1B54A8A0" w14:textId="77777777" w:rsidR="00043C54" w:rsidRDefault="00000000" w:rsidP="00043C54">
      <w:pPr>
        <w:pStyle w:val="FirstParagraph"/>
        <w:jc w:val="both"/>
      </w:pPr>
      <w:r>
        <w:rPr>
          <w:b/>
          <w:bCs/>
        </w:rPr>
        <w:t>Federal:</w:t>
      </w:r>
      <w:r>
        <w:t xml:space="preserve"> - </w:t>
      </w:r>
      <w:r>
        <w:rPr>
          <w:b/>
          <w:bCs/>
        </w:rPr>
        <w:t>§45X Advanced Manufacturing Production Credit</w:t>
      </w:r>
      <w:r>
        <w:t xml:space="preserve"> — per‑unit production credits for eligible components; structure composites/inputs accordingly.</w:t>
      </w:r>
      <w:r>
        <w:br/>
        <w:t xml:space="preserve">- </w:t>
      </w:r>
      <w:r>
        <w:rPr>
          <w:b/>
          <w:bCs/>
        </w:rPr>
        <w:t>DOE Loan Programs Office (LPO)</w:t>
      </w:r>
      <w:r>
        <w:t xml:space="preserve"> — debt guarantees for industrial decarbonization and advanced manufacturing.</w:t>
      </w:r>
    </w:p>
    <w:p w14:paraId="1E935F3F" w14:textId="77777777" w:rsidR="00043C54" w:rsidRDefault="00000000" w:rsidP="00043C54">
      <w:pPr>
        <w:pStyle w:val="FirstParagraph"/>
        <w:jc w:val="both"/>
      </w:pPr>
      <w:r>
        <w:t xml:space="preserve">- </w:t>
      </w:r>
      <w:r>
        <w:rPr>
          <w:b/>
          <w:bCs/>
        </w:rPr>
        <w:t>USDA</w:t>
      </w:r>
      <w:r>
        <w:t xml:space="preserve"> — Value‑Added Producer Grants; REAP loans; EQIP/CRP cost‑share where windbreaks/shelterbelts apply.</w:t>
      </w:r>
    </w:p>
    <w:p w14:paraId="34A90D12" w14:textId="16B9B59A" w:rsidR="000F5837" w:rsidRDefault="00000000" w:rsidP="00043C54">
      <w:pPr>
        <w:pStyle w:val="FirstParagraph"/>
        <w:jc w:val="both"/>
      </w:pPr>
      <w:r>
        <w:t xml:space="preserve">- </w:t>
      </w:r>
      <w:r>
        <w:rPr>
          <w:b/>
          <w:bCs/>
        </w:rPr>
        <w:t>EDA Public Works / Regional</w:t>
      </w:r>
      <w:r>
        <w:t xml:space="preserve"> — matching grants for sites, utilities, and workforce.</w:t>
      </w:r>
    </w:p>
    <w:p w14:paraId="54674E4B" w14:textId="77777777" w:rsidR="000F5837" w:rsidRDefault="00000000" w:rsidP="00043C54">
      <w:pPr>
        <w:pStyle w:val="BodyText"/>
        <w:jc w:val="both"/>
      </w:pPr>
      <w:r>
        <w:rPr>
          <w:b/>
          <w:bCs/>
        </w:rPr>
        <w:t>State &amp; Local (TX example):</w:t>
      </w:r>
      <w:r>
        <w:t xml:space="preserve"> - Property‑tax abatements; sales‑tax exemptions on manufacturing gear; workforce grants.</w:t>
      </w:r>
    </w:p>
    <w:p w14:paraId="1A337C86" w14:textId="77777777" w:rsidR="000F5837" w:rsidRDefault="00000000" w:rsidP="00043C54">
      <w:pPr>
        <w:pStyle w:val="BodyText"/>
        <w:jc w:val="both"/>
      </w:pPr>
      <w:r>
        <w:rPr>
          <w:b/>
          <w:bCs/>
        </w:rPr>
        <w:t>How to show it to investors:</w:t>
      </w:r>
      <w:r>
        <w:t xml:space="preserve"> Build a “Government Incentive Stack” schedule that nets credits/grants against capex so $10M looks like $7M of real risk.</w:t>
      </w:r>
    </w:p>
    <w:p w14:paraId="443CDC06" w14:textId="77777777" w:rsidR="000F5837" w:rsidRDefault="00000000">
      <w:r>
        <w:pict w14:anchorId="6AE84929">
          <v:rect id="_x0000_i1031" style="width:0;height:1.5pt" o:hralign="center" o:hrstd="t" o:hr="t"/>
        </w:pict>
      </w:r>
    </w:p>
    <w:p w14:paraId="6DD1A69F" w14:textId="77777777" w:rsidR="000F5837" w:rsidRDefault="00000000">
      <w:pPr>
        <w:pStyle w:val="Heading2"/>
      </w:pPr>
      <w:bookmarkStart w:id="7" w:name="consumer-activation-labeling-1-page"/>
      <w:bookmarkEnd w:id="6"/>
      <w:r>
        <w:lastRenderedPageBreak/>
        <w:t>7) Consumer Activation &amp; Labeling (1 page)</w:t>
      </w:r>
    </w:p>
    <w:p w14:paraId="45CE351F" w14:textId="77777777" w:rsidR="00043C54" w:rsidRDefault="00000000" w:rsidP="00043C54">
      <w:pPr>
        <w:pStyle w:val="FirstParagraph"/>
        <w:jc w:val="both"/>
      </w:pPr>
      <w:r>
        <w:rPr>
          <w:b/>
          <w:bCs/>
        </w:rPr>
        <w:t>Stop buying blind.</w:t>
      </w:r>
      <w:r>
        <w:t xml:space="preserve"> Add a </w:t>
      </w:r>
      <w:r>
        <w:rPr>
          <w:b/>
          <w:bCs/>
        </w:rPr>
        <w:t>Chemical Facts</w:t>
      </w:r>
      <w:r>
        <w:t xml:space="preserve"> panel + </w:t>
      </w:r>
      <w:r>
        <w:rPr>
          <w:b/>
          <w:bCs/>
        </w:rPr>
        <w:t>Digital Product Passport</w:t>
      </w:r>
      <w:r>
        <w:t xml:space="preserve"> (DPP) QR on packaging: - Base materials (percentages), additives (CAS), adhesives/sealants, restricted substance status, recyclability/compostability, end‑of‑life path.</w:t>
      </w:r>
    </w:p>
    <w:p w14:paraId="1EF216CD" w14:textId="12D8AF05" w:rsidR="000F5837" w:rsidRDefault="00000000" w:rsidP="00043C54">
      <w:pPr>
        <w:pStyle w:val="FirstParagraph"/>
        <w:jc w:val="both"/>
      </w:pPr>
      <w:r>
        <w:t>- DPP ties to manufacturer specs and LCA.</w:t>
      </w:r>
    </w:p>
    <w:p w14:paraId="486185D2" w14:textId="77777777" w:rsidR="000F5837" w:rsidRDefault="00000000" w:rsidP="00043C54">
      <w:pPr>
        <w:pStyle w:val="BodyText"/>
        <w:jc w:val="both"/>
      </w:pPr>
      <w:r>
        <w:rPr>
          <w:b/>
          <w:bCs/>
        </w:rPr>
        <w:t>Legal flywheel:</w:t>
      </w:r>
      <w:r>
        <w:t xml:space="preserve"> Convert judgments into regeneration. Channel a share of damages or settlements into </w:t>
      </w:r>
      <w:r>
        <w:rPr>
          <w:b/>
          <w:bCs/>
        </w:rPr>
        <w:t>bio‑economy infrastructure funds</w:t>
      </w:r>
      <w:r>
        <w:t>—processing hubs, university R&amp;D, and workforce training. Now the courts help build the replacement system.</w:t>
      </w:r>
    </w:p>
    <w:p w14:paraId="6057B0D7" w14:textId="77777777" w:rsidR="000F5837" w:rsidRDefault="00000000">
      <w:r>
        <w:pict w14:anchorId="6C4B8D3F">
          <v:rect id="_x0000_i1032" style="width:0;height:1.5pt" o:hralign="center" o:hrstd="t" o:hr="t"/>
        </w:pict>
      </w:r>
    </w:p>
    <w:p w14:paraId="1F2802FF" w14:textId="77777777" w:rsidR="000F5837" w:rsidRDefault="00000000">
      <w:pPr>
        <w:pStyle w:val="Heading2"/>
      </w:pPr>
      <w:bookmarkStart w:id="8" w:name="finance-legal-counterstrike-0.51-page"/>
      <w:bookmarkEnd w:id="7"/>
      <w:r>
        <w:t>8) Finance &amp; Legal Counterstrike (0.5–1 page)</w:t>
      </w:r>
    </w:p>
    <w:p w14:paraId="46864437" w14:textId="77777777" w:rsidR="00043C54" w:rsidRDefault="00000000" w:rsidP="00043C54">
      <w:pPr>
        <w:pStyle w:val="Compact"/>
        <w:numPr>
          <w:ilvl w:val="0"/>
          <w:numId w:val="2"/>
        </w:numPr>
        <w:jc w:val="both"/>
      </w:pPr>
      <w:r>
        <w:rPr>
          <w:b/>
          <w:bCs/>
        </w:rPr>
        <w:t>Private roll‑up (Reg D 506):</w:t>
      </w:r>
      <w:r>
        <w:t xml:space="preserve"> Acquire processors; standard PE tools (earn‑outs, debt, integration).</w:t>
      </w:r>
    </w:p>
    <w:p w14:paraId="5D07B0C6" w14:textId="27F3DDE1" w:rsidR="000F5837" w:rsidRDefault="000F5837" w:rsidP="00043C54">
      <w:pPr>
        <w:pStyle w:val="Compact"/>
        <w:ind w:left="720"/>
        <w:jc w:val="both"/>
      </w:pPr>
    </w:p>
    <w:p w14:paraId="2DB14E68" w14:textId="77777777" w:rsidR="00043C54" w:rsidRDefault="00000000" w:rsidP="00043C54">
      <w:pPr>
        <w:pStyle w:val="Compact"/>
        <w:numPr>
          <w:ilvl w:val="0"/>
          <w:numId w:val="2"/>
        </w:numPr>
        <w:jc w:val="both"/>
      </w:pPr>
      <w:r>
        <w:rPr>
          <w:b/>
          <w:bCs/>
        </w:rPr>
        <w:t>Tax tools:</w:t>
      </w:r>
      <w:r>
        <w:t xml:space="preserve"> Direct Pay (§6417) and Transferability (§6418) to monetize credits for non‑taxable partners or optimize investor outcomes.</w:t>
      </w:r>
    </w:p>
    <w:p w14:paraId="0B15885B" w14:textId="2609F313" w:rsidR="000F5837" w:rsidRDefault="000F5837" w:rsidP="00043C54">
      <w:pPr>
        <w:pStyle w:val="Compact"/>
        <w:jc w:val="both"/>
      </w:pPr>
    </w:p>
    <w:p w14:paraId="42DF74FA" w14:textId="77777777" w:rsidR="00043C54" w:rsidRDefault="00000000" w:rsidP="00043C54">
      <w:pPr>
        <w:pStyle w:val="Compact"/>
        <w:numPr>
          <w:ilvl w:val="0"/>
          <w:numId w:val="2"/>
        </w:numPr>
        <w:jc w:val="both"/>
      </w:pPr>
      <w:r>
        <w:rPr>
          <w:b/>
          <w:bCs/>
        </w:rPr>
        <w:t>Accountability:</w:t>
      </w:r>
      <w:r>
        <w:t xml:space="preserve"> Explore PR‑firm liability where campaigns materially mislead (research in evidence pack).</w:t>
      </w:r>
    </w:p>
    <w:p w14:paraId="541CB82A" w14:textId="7BCD78C5" w:rsidR="000F5837" w:rsidRDefault="000F5837" w:rsidP="00043C54">
      <w:pPr>
        <w:pStyle w:val="Compact"/>
        <w:jc w:val="both"/>
      </w:pPr>
    </w:p>
    <w:p w14:paraId="6CD20A6F" w14:textId="77777777" w:rsidR="000F5837" w:rsidRDefault="00000000" w:rsidP="00043C54">
      <w:pPr>
        <w:pStyle w:val="Compact"/>
        <w:numPr>
          <w:ilvl w:val="0"/>
          <w:numId w:val="2"/>
        </w:numPr>
        <w:jc w:val="both"/>
      </w:pPr>
      <w:r>
        <w:rPr>
          <w:b/>
          <w:bCs/>
        </w:rPr>
        <w:t>Exit options:</w:t>
      </w:r>
      <w:r>
        <w:t xml:space="preserve"> Strategic sale to Tier‑1, IPO of a consolidated processor, or perpetual cash machine with dividend policy.</w:t>
      </w:r>
    </w:p>
    <w:p w14:paraId="50E722BC" w14:textId="77777777" w:rsidR="000F5837" w:rsidRDefault="00000000">
      <w:r>
        <w:pict w14:anchorId="2976A4B2">
          <v:rect id="_x0000_i1033" style="width:0;height:1.5pt" o:hralign="center" o:hrstd="t" o:hr="t"/>
        </w:pict>
      </w:r>
    </w:p>
    <w:p w14:paraId="4E2C5B0A" w14:textId="77777777" w:rsidR="000F5837" w:rsidRDefault="00000000">
      <w:pPr>
        <w:pStyle w:val="Heading2"/>
      </w:pPr>
      <w:bookmarkStart w:id="9" w:name="case-snapshots-milestones-1-page"/>
      <w:bookmarkEnd w:id="8"/>
      <w:r>
        <w:t>9) Case Snapshots &amp; Milestones (1 page)</w:t>
      </w:r>
    </w:p>
    <w:p w14:paraId="5A0F7075" w14:textId="77777777" w:rsidR="00043C54" w:rsidRDefault="00000000" w:rsidP="00043C54">
      <w:pPr>
        <w:pStyle w:val="FirstParagraph"/>
        <w:jc w:val="both"/>
        <w:rPr>
          <w:b/>
          <w:bCs/>
        </w:rPr>
      </w:pPr>
      <w:r>
        <w:rPr>
          <w:b/>
          <w:bCs/>
        </w:rPr>
        <w:t>Snapshot A — Bedding/Board Baseline</w:t>
      </w:r>
    </w:p>
    <w:p w14:paraId="6637B9D1" w14:textId="1D5A2AD9" w:rsidR="00043C54" w:rsidRDefault="00000000" w:rsidP="00043C54">
      <w:pPr>
        <w:pStyle w:val="FirstParagraph"/>
        <w:jc w:val="both"/>
      </w:pPr>
      <w:r>
        <w:t>- Product: Hurd pellets / fiber for particleboard &amp; bedding cores.</w:t>
      </w:r>
    </w:p>
    <w:p w14:paraId="24B86991" w14:textId="79E95773" w:rsidR="00043C54" w:rsidRDefault="00000000" w:rsidP="00043C54">
      <w:pPr>
        <w:pStyle w:val="FirstParagraph"/>
        <w:jc w:val="both"/>
      </w:pPr>
      <w:r>
        <w:t>- Pricing: $60–$80/ton delivered; year‑round offtake.</w:t>
      </w:r>
    </w:p>
    <w:p w14:paraId="34210487" w14:textId="1C3F1F6E" w:rsidR="00043C54" w:rsidRPr="00043C54" w:rsidRDefault="00000000" w:rsidP="00043C54">
      <w:pPr>
        <w:pStyle w:val="FirstParagraph"/>
        <w:jc w:val="both"/>
      </w:pPr>
      <w:r>
        <w:t>- Outcome: Day</w:t>
      </w:r>
      <w:r>
        <w:rPr>
          <w:rFonts w:ascii="Cambria Math" w:hAnsi="Cambria Math" w:cs="Cambria Math"/>
        </w:rPr>
        <w:t>‑</w:t>
      </w:r>
      <w:r>
        <w:t>one cash flow; funds the certification ladder.</w:t>
      </w:r>
    </w:p>
    <w:p w14:paraId="24B12E37" w14:textId="77777777" w:rsidR="00043C54" w:rsidRDefault="00000000" w:rsidP="00043C54">
      <w:pPr>
        <w:pStyle w:val="BodyText"/>
        <w:jc w:val="both"/>
        <w:rPr>
          <w:b/>
          <w:bCs/>
        </w:rPr>
      </w:pPr>
      <w:r>
        <w:rPr>
          <w:b/>
          <w:bCs/>
        </w:rPr>
        <w:t>Snapshot B — Truck Interior Program</w:t>
      </w:r>
    </w:p>
    <w:p w14:paraId="180EBECB" w14:textId="3C46C9A0" w:rsidR="000F5837" w:rsidRDefault="00000000" w:rsidP="00043C54">
      <w:pPr>
        <w:pStyle w:val="BodyText"/>
        <w:jc w:val="both"/>
      </w:pPr>
      <w:r>
        <w:t>- Spec: 20–30% bast reinforcement in PP; FMVSS 302 compliant; low odor/VOC.</w:t>
      </w:r>
      <w:r>
        <w:br/>
        <w:t>- Volume: ~5,000 t/yr bast fiber; 18‑month validation; letters of intent upfront.</w:t>
      </w:r>
    </w:p>
    <w:p w14:paraId="3302CF8F" w14:textId="77777777" w:rsidR="00043C54" w:rsidRDefault="00000000" w:rsidP="00043C54">
      <w:pPr>
        <w:pStyle w:val="BodyText"/>
        <w:jc w:val="both"/>
        <w:rPr>
          <w:b/>
          <w:bCs/>
        </w:rPr>
      </w:pPr>
      <w:r>
        <w:rPr>
          <w:b/>
          <w:bCs/>
        </w:rPr>
        <w:t>Snapshot C — Bamboo Perimeter Windbreaks</w:t>
      </w:r>
    </w:p>
    <w:p w14:paraId="79A706E0" w14:textId="0DE16DD4" w:rsidR="00043C54" w:rsidRDefault="00000000" w:rsidP="00043C54">
      <w:pPr>
        <w:pStyle w:val="BodyText"/>
        <w:jc w:val="both"/>
      </w:pPr>
      <w:r>
        <w:t>- Design: ~40‑ft bands around 20‑acre cells → ~3–3.5 acres bamboo per 20 acres protected.</w:t>
      </w:r>
    </w:p>
    <w:p w14:paraId="08BA2680" w14:textId="02B1CA35" w:rsidR="000F5837" w:rsidRDefault="00000000" w:rsidP="00043C54">
      <w:pPr>
        <w:pStyle w:val="BodyText"/>
        <w:jc w:val="both"/>
      </w:pPr>
      <w:r>
        <w:lastRenderedPageBreak/>
        <w:br/>
        <w:t>- Benefits: Microclimate, soil moisture savings, shelter, future high‑yield fiber at maturity.</w:t>
      </w:r>
    </w:p>
    <w:p w14:paraId="6863AB2E" w14:textId="77777777" w:rsidR="000F5837" w:rsidRDefault="00000000">
      <w:pPr>
        <w:pStyle w:val="BodyText"/>
      </w:pPr>
      <w:r>
        <w:rPr>
          <w:b/>
          <w:bCs/>
        </w:rPr>
        <w:t>Milestones:</w:t>
      </w:r>
      <w:r>
        <w:t xml:space="preserve"> 1. Site + equipment ordered; base offtake LOIs signed.</w:t>
      </w:r>
      <w:r>
        <w:br/>
        <w:t>2. ISO 9001 achieved; automotive pilot parts tested.</w:t>
      </w:r>
      <w:r>
        <w:br/>
        <w:t>3. IATF 16949 certification; first OEM contract.</w:t>
      </w:r>
      <w:r>
        <w:br/>
        <w:t>4. Second hub online; bamboo first harvest.</w:t>
      </w:r>
    </w:p>
    <w:p w14:paraId="52AAE3C5" w14:textId="77777777" w:rsidR="000F5837" w:rsidRDefault="00000000">
      <w:r>
        <w:pict w14:anchorId="47990F6A">
          <v:rect id="_x0000_i1034" style="width:0;height:1.5pt" o:hralign="center" o:hrstd="t" o:hr="t"/>
        </w:pict>
      </w:r>
    </w:p>
    <w:p w14:paraId="00F0D12A" w14:textId="77777777" w:rsidR="000F5837" w:rsidRDefault="00000000">
      <w:pPr>
        <w:pStyle w:val="Heading2"/>
      </w:pPr>
      <w:bookmarkStart w:id="10" w:name="what-you-can-do-now-1-page"/>
      <w:bookmarkEnd w:id="9"/>
      <w:r>
        <w:t>10) What You Can Do Now (1 page)</w:t>
      </w:r>
    </w:p>
    <w:p w14:paraId="17BBBA48" w14:textId="77777777" w:rsidR="00043C54" w:rsidRDefault="00000000" w:rsidP="00043C54">
      <w:pPr>
        <w:pStyle w:val="FirstParagraph"/>
        <w:jc w:val="both"/>
      </w:pPr>
      <w:r>
        <w:rPr>
          <w:b/>
          <w:bCs/>
        </w:rPr>
        <w:t>Consumers:</w:t>
      </w:r>
      <w:r>
        <w:t xml:space="preserve"> Buy the bio‑based option; scan the DPP; ask for the Chemical Facts panel.</w:t>
      </w:r>
      <w:r>
        <w:br/>
      </w:r>
      <w:r>
        <w:rPr>
          <w:b/>
          <w:bCs/>
        </w:rPr>
        <w:t>Operators:</w:t>
      </w:r>
      <w:r>
        <w:t xml:space="preserve"> Spec hemp/bamboo in your next product cycle; publish your material bill of materials.</w:t>
      </w:r>
      <w:r>
        <w:br/>
      </w:r>
      <w:r>
        <w:rPr>
          <w:b/>
          <w:bCs/>
        </w:rPr>
        <w:t>Teachers:</w:t>
      </w:r>
      <w:r>
        <w:t xml:space="preserve"> Use the Executive Summary + Evidence Pack; assign a sourcing audit.</w:t>
      </w:r>
      <w:r>
        <w:br/>
      </w:r>
      <w:r>
        <w:rPr>
          <w:b/>
          <w:bCs/>
        </w:rPr>
        <w:t>Investors:</w:t>
      </w:r>
      <w:r>
        <w:t xml:space="preserve"> Back processors and logistics, not hype; demand certification roadmaps tied to real offtake.</w:t>
      </w:r>
    </w:p>
    <w:p w14:paraId="3194EE82" w14:textId="50884B40" w:rsidR="000F5837" w:rsidRDefault="00000000" w:rsidP="00043C54">
      <w:pPr>
        <w:pStyle w:val="FirstParagraph"/>
        <w:jc w:val="both"/>
      </w:pPr>
      <w:r>
        <w:rPr>
          <w:b/>
          <w:bCs/>
        </w:rPr>
        <w:t>Policy leaders:</w:t>
      </w:r>
      <w:r>
        <w:t xml:space="preserve"> Keep 45X strong; make FEOC compliance real; fund regional processing hubs.</w:t>
      </w:r>
    </w:p>
    <w:p w14:paraId="398EB830" w14:textId="77777777" w:rsidR="000F5837" w:rsidRDefault="00000000" w:rsidP="00043C54">
      <w:pPr>
        <w:pStyle w:val="BodyText"/>
        <w:jc w:val="both"/>
      </w:pPr>
      <w:r>
        <w:rPr>
          <w:b/>
          <w:bCs/>
        </w:rPr>
        <w:t>Tone check:</w:t>
      </w:r>
      <w:r>
        <w:t xml:space="preserve"> We’re not doomed; we’re just late. The fix is operational, not mystical. The moment we control the materials, we control the outcomes.</w:t>
      </w:r>
    </w:p>
    <w:p w14:paraId="333CC8F1" w14:textId="77777777" w:rsidR="000F5837" w:rsidRDefault="00000000">
      <w:r>
        <w:pict w14:anchorId="55F12BAD">
          <v:rect id="_x0000_i1035" style="width:0;height:1.5pt" o:hralign="center" o:hrstd="t" o:hr="t"/>
        </w:pict>
      </w:r>
    </w:p>
    <w:p w14:paraId="3DF589E3" w14:textId="77777777" w:rsidR="000F5837" w:rsidRDefault="00000000">
      <w:pPr>
        <w:pStyle w:val="Heading3"/>
      </w:pPr>
      <w:bookmarkStart w:id="11" w:name="notes-for-educators-reviewers"/>
      <w:r>
        <w:t>Notes for Educators &amp; Reviewers</w:t>
      </w:r>
    </w:p>
    <w:p w14:paraId="0FB7961F" w14:textId="77777777" w:rsidR="000F5837" w:rsidRDefault="00000000">
      <w:pPr>
        <w:pStyle w:val="Compact"/>
        <w:numPr>
          <w:ilvl w:val="0"/>
          <w:numId w:val="3"/>
        </w:numPr>
      </w:pPr>
      <w:r>
        <w:t xml:space="preserve">This summary is free to share for </w:t>
      </w:r>
      <w:r>
        <w:rPr>
          <w:b/>
          <w:bCs/>
        </w:rPr>
        <w:t>non‑commercial</w:t>
      </w:r>
      <w:r>
        <w:t xml:space="preserve"> classroom use.</w:t>
      </w:r>
      <w:r>
        <w:br/>
      </w:r>
    </w:p>
    <w:p w14:paraId="1106CFC6" w14:textId="77777777" w:rsidR="000F5837" w:rsidRDefault="00000000">
      <w:pPr>
        <w:pStyle w:val="Compact"/>
        <w:numPr>
          <w:ilvl w:val="0"/>
          <w:numId w:val="3"/>
        </w:numPr>
      </w:pPr>
      <w:r>
        <w:t xml:space="preserve">Full citations live in the </w:t>
      </w:r>
      <w:r>
        <w:rPr>
          <w:b/>
          <w:bCs/>
        </w:rPr>
        <w:t>Open Evidence Pack</w:t>
      </w:r>
      <w:r>
        <w:t xml:space="preserve"> (Zenodo DOI).</w:t>
      </w:r>
      <w:r>
        <w:br/>
      </w:r>
    </w:p>
    <w:p w14:paraId="4D5D8E5C" w14:textId="77777777" w:rsidR="000F5837" w:rsidRDefault="00000000">
      <w:pPr>
        <w:pStyle w:val="Compact"/>
        <w:numPr>
          <w:ilvl w:val="0"/>
          <w:numId w:val="3"/>
        </w:numPr>
      </w:pPr>
      <w:r>
        <w:t>For speaking requests or review copies, contact Eric.</w:t>
      </w:r>
    </w:p>
    <w:p w14:paraId="192B3870" w14:textId="77777777" w:rsidR="000F5837" w:rsidRDefault="00000000">
      <w:r>
        <w:pict w14:anchorId="20256158">
          <v:rect id="_x0000_i1036" style="width:0;height:1.5pt" o:hralign="center" o:hrstd="t" o:hr="t"/>
        </w:pict>
      </w:r>
    </w:p>
    <w:p w14:paraId="2A20F270" w14:textId="77777777" w:rsidR="000F5837" w:rsidRDefault="00000000">
      <w:pPr>
        <w:pStyle w:val="Heading3"/>
      </w:pPr>
      <w:bookmarkStart w:id="12" w:name="license-versioning"/>
      <w:bookmarkEnd w:id="11"/>
      <w:r>
        <w:t>License &amp; Versioning</w:t>
      </w:r>
    </w:p>
    <w:p w14:paraId="4D016CAE" w14:textId="77777777" w:rsidR="000F5837" w:rsidRDefault="00000000">
      <w:pPr>
        <w:pStyle w:val="FirstParagraph"/>
      </w:pPr>
      <w:r>
        <w:rPr>
          <w:b/>
          <w:bCs/>
        </w:rPr>
        <w:t>Docs:</w:t>
      </w:r>
      <w:r>
        <w:t xml:space="preserve"> CC BY‑NC‑ND 4.0</w:t>
      </w:r>
      <w:r>
        <w:br/>
      </w:r>
      <w:r>
        <w:rPr>
          <w:b/>
          <w:bCs/>
        </w:rPr>
        <w:t>Data:</w:t>
      </w:r>
      <w:r>
        <w:t xml:space="preserve"> CC BY 4.0</w:t>
      </w:r>
      <w:r>
        <w:br/>
        <w:t>Version: v1.0</w:t>
      </w:r>
      <w:r>
        <w:br/>
        <w:t>Next planned update: Add case data from first processing hub and automotive pilot results.</w:t>
      </w:r>
      <w:bookmarkEnd w:id="0"/>
      <w:bookmarkEnd w:id="10"/>
      <w:bookmarkEnd w:id="12"/>
    </w:p>
    <w:sectPr w:rsidR="000F583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7FC9B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CE4AC2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57346057">
    <w:abstractNumId w:val="0"/>
  </w:num>
  <w:num w:numId="2" w16cid:durableId="2129816370">
    <w:abstractNumId w:val="1"/>
  </w:num>
  <w:num w:numId="3" w16cid:durableId="66952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837"/>
    <w:rsid w:val="00043C54"/>
    <w:rsid w:val="000F5837"/>
    <w:rsid w:val="0013455D"/>
    <w:rsid w:val="00F70760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57FB"/>
  <w15:docId w15:val="{42D4644D-E7C8-408C-B576-F0A3CA3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043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Stevens</dc:creator>
  <cp:keywords/>
  <cp:lastModifiedBy>Eric Stevens</cp:lastModifiedBy>
  <cp:revision>2</cp:revision>
  <dcterms:created xsi:type="dcterms:W3CDTF">2025-09-22T19:06:00Z</dcterms:created>
  <dcterms:modified xsi:type="dcterms:W3CDTF">2025-09-22T19:06:00Z</dcterms:modified>
</cp:coreProperties>
</file>