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c08ed7b7c638cda0181aad0afb32cd21d6c5b60"/>
    <w:p>
      <w:pPr>
        <w:pStyle w:val="Heading1"/>
      </w:pPr>
      <w:r>
        <w:t xml:space="preserve">Pre-Registration: Free Energy Heuristics Full Empirical Study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Chain-of-Thought Reasoning Degrades LLM Accuracy Under Knightian Uncertainty: A Confirmatory Test of the Meta-Precision Cue-Truncation Theorem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Alex Bogdan (EvolutionAIry AI Inc., Toronto, Canada). Affiliation independent.</w:t>
      </w:r>
    </w:p>
    <w:p>
      <w:pPr>
        <w:pStyle w:val="BodyText"/>
      </w:pPr>
      <w:r>
        <w:rPr>
          <w:b/>
          <w:bCs/>
        </w:rPr>
        <w:t xml:space="preserve">Theoretical pre-print:</w:t>
      </w:r>
      <w:r>
        <w:t xml:space="preserve"> </w:t>
      </w:r>
      <w:r>
        <w:t xml:space="preserve">Chapter 2 (FEH Theoretical Foundation, Working Draft v0.7) and Chapter 3 (FEH Operationalization, Working Draft v0.1) — to be posted to arXiv prior to data collection and cited by DOI in this pre-registration.</w:t>
      </w:r>
    </w:p>
    <w:p>
      <w:pPr>
        <w:pStyle w:val="BodyText"/>
      </w:pPr>
      <w:r>
        <w:rPr>
          <w:b/>
          <w:bCs/>
        </w:rPr>
        <w:t xml:space="preserve">Pre-registration platform:</w:t>
      </w:r>
      <w:r>
        <w:t xml:space="preserve"> </w:t>
      </w:r>
      <w:r>
        <w:t xml:space="preserve">OSF Pre-registration (https://osf.io/prereg). AsPredicted format included as Appendix B for users who prefer the lighter-weight registry.</w:t>
      </w:r>
    </w:p>
    <w:p>
      <w:pPr>
        <w:pStyle w:val="BodyText"/>
      </w:pPr>
      <w:r>
        <w:rPr>
          <w:b/>
          <w:bCs/>
        </w:rPr>
        <w:t xml:space="preserve">Submission status:</w:t>
      </w:r>
      <w:r>
        <w:t xml:space="preserve"> </w:t>
      </w:r>
      <w:r>
        <w:t xml:space="preserve">v0.2, OSF-submission-ready (2026-05-14). Item pool finalized at FEH-79 v0.3 (K2-validated, K3-validated). Hardware environment documented. Outstanding placeholders limited to arXiv DOI + GitHub URL (insertable as addendum at submission).</w:t>
      </w:r>
    </w:p>
    <w:p>
      <w:r>
        <w:pict>
          <v:rect style="width:0;height:1.5pt" o:hralign="center" o:hrstd="t" o:hr="t"/>
        </w:pict>
      </w:r>
    </w:p>
    <w:bookmarkStart w:id="20" w:name="study-information"/>
    <w:p>
      <w:pPr>
        <w:pStyle w:val="Heading2"/>
      </w:pPr>
      <w:r>
        <w:t xml:space="preserve">1. Study Information</w:t>
      </w:r>
    </w:p>
    <w:bookmarkStart w:id="17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The active-inference framework (Friston and colleagues) and the ecological-rationality framework (Gigerenzer and the ABC research group) make apparently incompatible predictions about when additional inference helps versus hurts decision quality. Chapter 2 of the accompanying theoretical pre-print derives a unification: under meta-uncertainty over prior precision (σ²_τ ≥ τ_regime), expected free energy is U-shaped in cue count k, and additional reasoning steps past the optimal truncation k* strictly increase expected free energy (Theorem 2.6.1).</w:t>
      </w:r>
    </w:p>
    <w:p>
      <w:pPr>
        <w:pStyle w:val="BodyText"/>
      </w:pPr>
      <w:r>
        <w:t xml:space="preserve">The framework predicts a specific, novel, falsifiable failure mode of contemporary LLM reasoning systems: under tasks satisfying meta-uncertainty (Knightian conditions, not aleatory risk or simple ambiguity), additional chain-of-thought (CoT) reasoning steps should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accuracy. This prediction directly contradicts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around o1/o3-style reasoning models. The present study is the confirmatory test.</w:t>
      </w:r>
    </w:p>
    <w:bookmarkEnd w:id="17"/>
    <w:bookmarkStart w:id="18" w:name="research-question"/>
    <w:p>
      <w:pPr>
        <w:pStyle w:val="Heading3"/>
      </w:pPr>
      <w:r>
        <w:t xml:space="preserve">1.2 Research question</w:t>
      </w:r>
    </w:p>
    <w:p>
      <w:pPr>
        <w:pStyle w:val="FirstParagraph"/>
      </w:pPr>
      <w:r>
        <w:t xml:space="preserve">Does additional CoT reasoning degrade LLM accuracy on high-meta-uncertainty items (as predicted by the cue-truncation theorem), and does this effect interact with the regime score (a behavioral proxy for σ²_τ) in the direction predicted by theory?</w:t>
      </w:r>
    </w:p>
    <w:bookmarkEnd w:id="18"/>
    <w:bookmarkStart w:id="19" w:name="headline-claim"/>
    <w:p>
      <w:pPr>
        <w:pStyle w:val="Heading3"/>
      </w:pPr>
      <w:r>
        <w:t xml:space="preserve">1.3 Headline claim</w:t>
      </w:r>
    </w:p>
    <w:p>
      <w:pPr>
        <w:pStyle w:val="FirstParagraph"/>
      </w:pPr>
      <w:r>
        <w:t xml:space="preserve">Within items in the top quartile of the regime score (high meta-uncertainty proxy), accuracy as a function of CoT step count should be</w:t>
      </w:r>
      <w:r>
        <w:t xml:space="preserve"> </w:t>
      </w:r>
      <w:r>
        <w:rPr>
          <w:i/>
          <w:iCs/>
        </w:rPr>
        <w:t xml:space="preserve">decreasing</w:t>
      </w:r>
      <w:r>
        <w:t xml:space="preserve">. Within items in the bottom quartile, it should be</w:t>
      </w:r>
      <w:r>
        <w:t xml:space="preserve"> </w:t>
      </w:r>
      <w:r>
        <w:rPr>
          <w:i/>
          <w:iCs/>
        </w:rPr>
        <w:t xml:space="preserve">non-decreasing</w:t>
      </w:r>
      <w:r>
        <w:t xml:space="preserve">. The cross-quartile interaction is the primary test.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hypotheses"/>
    <w:p>
      <w:pPr>
        <w:pStyle w:val="Heading2"/>
      </w:pPr>
      <w:r>
        <w:t xml:space="preserve">2. Hypotheses</w:t>
      </w:r>
    </w:p>
    <w:bookmarkStart w:id="21" w:name="primary-hypothesis-confirmatory"/>
    <w:p>
      <w:pPr>
        <w:pStyle w:val="Heading3"/>
      </w:pPr>
      <w:r>
        <w:t xml:space="preserve">2.1 Primary hypothesis (confirmatory)</w:t>
      </w:r>
    </w:p>
    <w:p>
      <w:pPr>
        <w:pStyle w:val="FirstParagraph"/>
      </w:pPr>
      <w:r>
        <w:rPr>
          <w:b/>
          <w:bCs/>
        </w:rPr>
        <w:t xml:space="preserve">H1</w:t>
      </w:r>
      <w:r>
        <w:t xml:space="preserve">: The interaction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analysis model (Section 6, eq. 6.1) is negative with magnitude sufficient to reverse the sign of the steps-on-accuracy slope in the high-regime bin: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Equivalently: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bookmarkEnd w:id="21"/>
    <w:bookmarkStart w:id="22" w:name="secondary-hypotheses-confirmatory"/>
    <w:p>
      <w:pPr>
        <w:pStyle w:val="Heading3"/>
      </w:pPr>
      <w:r>
        <w:t xml:space="preserve">2.2 Secondary hypotheses (confirmatory)</w:t>
      </w:r>
    </w:p>
    <w:p>
      <w:pPr>
        <w:pStyle w:val="FirstParagraph"/>
      </w:pPr>
      <w:r>
        <w:rPr>
          <w:b/>
          <w:bCs/>
        </w:rPr>
        <w:t xml:space="preserve">H2 (size-scaling)</w:t>
      </w:r>
      <w:r>
        <w:t xml:space="preserve">: The magnitude of the negative interaction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does not systematically decrease with model size. Theory predicts the effect is regime-driven, not capability-driven; a strong negative dependence on model size would falsify the framework’s scope claim.</w:t>
      </w:r>
    </w:p>
    <w:p>
      <w:pPr>
        <w:pStyle w:val="BodyText"/>
      </w:pPr>
      <w:r>
        <w:rPr>
          <w:b/>
          <w:bCs/>
        </w:rPr>
        <w:t xml:space="preserve">H3 (regime-validation)</w:t>
      </w:r>
      <w:r>
        <w:t xml:space="preserve">: Items independently classified as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by the §3.6 procedure show higher regime scores than items classified as</w:t>
      </w:r>
      <w:r>
        <w:t xml:space="preserve"> </w:t>
      </w:r>
      <w:r>
        <w:t xml:space="preserve">“aleatory”</w:t>
      </w:r>
      <w:r>
        <w:t xml:space="preserve"> </w:t>
      </w:r>
      <w:r>
        <w:t xml:space="preserve">(ground-truth distribution known) or</w:t>
      </w:r>
      <w:r>
        <w:t xml:space="preserve"> </w:t>
      </w:r>
      <w:r>
        <w:t xml:space="preserve">“epistemic”</w:t>
      </w:r>
      <w:r>
        <w:t xml:space="preserve"> </w:t>
      </w:r>
      <w:r>
        <w:t xml:space="preserve">(ground-truth distribution unknown but resolvable). This validates the regime score as picking up meta-uncertainty rather than other uncertainty types.</w:t>
      </w:r>
    </w:p>
    <w:bookmarkEnd w:id="22"/>
    <w:bookmarkStart w:id="23" w:name="Xc4f419ac31eddc0ad77adf4e35caa7ed1450131"/>
    <w:p>
      <w:pPr>
        <w:pStyle w:val="Heading3"/>
      </w:pPr>
      <w:r>
        <w:t xml:space="preserve">2.3 Exploratory hypotheses (non-confirmatory, reported for transparency)</w:t>
      </w:r>
    </w:p>
    <w:p>
      <w:pPr>
        <w:pStyle w:val="Compact"/>
        <w:numPr>
          <w:ilvl w:val="0"/>
          <w:numId w:val="1001"/>
        </w:numPr>
      </w:pPr>
      <w:r>
        <w:t xml:space="preserve">E1: Negative interaction is detectable on reasoning models (o1, DeepSeek-R1, Qwen-QwQ) at API-accessible scales, replicating the open-weight finding.</w:t>
      </w:r>
    </w:p>
    <w:p>
      <w:pPr>
        <w:pStyle w:val="Compact"/>
        <w:numPr>
          <w:ilvl w:val="0"/>
          <w:numId w:val="1001"/>
        </w:numPr>
      </w:pPr>
      <w:r>
        <w:t xml:space="preserve">E2: Token-level analysis of where accuracy degrades within the CoT trace reveals a transition point matching the EFE-predicted k*.</w:t>
      </w:r>
    </w:p>
    <w:p>
      <w:pPr>
        <w:pStyle w:val="Compact"/>
        <w:numPr>
          <w:ilvl w:val="0"/>
          <w:numId w:val="1001"/>
        </w:numPr>
      </w:pPr>
      <w:r>
        <w:t xml:space="preserve">E3: The negative interaction generalizes to a separate held-out item set constructed independently of the regime-score pre-screen.</w:t>
      </w:r>
    </w:p>
    <w:p>
      <w:pPr>
        <w:pStyle w:val="FirstParagraph"/>
      </w:pPr>
      <w:r>
        <w:t xml:space="preserve">These are reported alongside H1-H3 but do not affect the confirmatory inference.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tudy-design"/>
    <w:p>
      <w:pPr>
        <w:pStyle w:val="Heading2"/>
      </w:pPr>
      <w:r>
        <w:t xml:space="preserve">3. Study Design</w:t>
      </w:r>
    </w:p>
    <w:bookmarkStart w:id="25" w:name="design-type"/>
    <w:p>
      <w:pPr>
        <w:pStyle w:val="Heading3"/>
      </w:pPr>
      <w:r>
        <w:t xml:space="preserve">3.1 Design type</w:t>
      </w:r>
    </w:p>
    <w:p>
      <w:pPr>
        <w:pStyle w:val="FirstParagraph"/>
      </w:pPr>
      <w:r>
        <w:t xml:space="preserve">Within-item × within-model × between-condition experimental design. Items are nested within regime bins; each item is presented to each model under each of 5 conditions, with 3 replications per (model, item, condition) cell.</w:t>
      </w:r>
    </w:p>
    <w:bookmarkEnd w:id="25"/>
    <w:bookmarkStart w:id="26" w:name="X5572cad37ce15125b43ed23110722f56d4c9902"/>
    <w:p>
      <w:pPr>
        <w:pStyle w:val="Heading3"/>
      </w:pPr>
      <w:r>
        <w:t xml:space="preserve">3.2 Conditions (independent variable: CoT length)</w:t>
      </w:r>
    </w:p>
    <w:p>
      <w:pPr>
        <w:pStyle w:val="FirstParagraph"/>
      </w:pPr>
      <w:r>
        <w:t xml:space="preserve">Five conditions, length-graded: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 — None</w:t>
      </w:r>
      <w:r>
        <w:t xml:space="preserve">: direct answer prompt, no CoT allowed (suppression via</w:t>
      </w:r>
      <w:r>
        <w:t xml:space="preserve"> </w:t>
      </w:r>
      <w:r>
        <w:t xml:space="preserve">“Answer in one word only.”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 — Short</w:t>
      </w:r>
      <w:r>
        <w:t xml:space="preserve">: ~3 reasoning steps target (</w:t>
      </w:r>
      <w:r>
        <w:t xml:space="preserve">“Think step by step, briefly, in 3 steps or fewer.”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 — Medium</w:t>
      </w:r>
      <w:r>
        <w:t xml:space="preserve">: ~7 reasoning steps target (</w:t>
      </w:r>
      <w:r>
        <w:t xml:space="preserve">“Think step by step in about 7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 — Long</w:t>
      </w:r>
      <w:r>
        <w:t xml:space="preserve">: ~15 reasoning steps target (</w:t>
      </w:r>
      <w:r>
        <w:t xml:space="preserve">“Reason through this carefully in about 15 steps.”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 — Unconstrained</w:t>
      </w:r>
      <w:r>
        <w:t xml:space="preserve">: standard CoT prompt (</w:t>
      </w:r>
      <w:r>
        <w:t xml:space="preserve">“Think step by step.”</w:t>
      </w:r>
      <w:r>
        <w:t xml:space="preserve">) with no length cap.</w:t>
      </w:r>
    </w:p>
    <w:p>
      <w:pPr>
        <w:pStyle w:val="FirstParagraph"/>
      </w:pPr>
      <w:r>
        <w:t xml:space="preserve">The realized step count is recorded per response and used as the continuous independent variable in the analysis model (Section 6).</w:t>
      </w:r>
    </w:p>
    <w:bookmarkEnd w:id="26"/>
    <w:bookmarkStart w:id="27" w:name="models-between-model-factor"/>
    <w:p>
      <w:pPr>
        <w:pStyle w:val="Heading3"/>
      </w:pPr>
      <w:r>
        <w:t xml:space="preserve">3.3 Models (between-model factor)</w:t>
      </w:r>
    </w:p>
    <w:p>
      <w:pPr>
        <w:pStyle w:val="FirstParagraph"/>
      </w:pPr>
      <w:r>
        <w:t xml:space="preserve">Five models spanning a ~10× size range, all instruction-tuned, open-weight, runnable on local hardware (NVIDIA RTX 4070 Super, 12GB VRAM) with quantization where required: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</w:t>
      </w:r>
      <w:r>
        <w:t xml:space="preserve">: Phi-3.5-mini-instruct (3.8B parameters),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M2</w:t>
      </w:r>
      <w:r>
        <w:t xml:space="preserve">: Mistral-7B-Instruct-v0.3 (7B),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M3</w:t>
      </w:r>
      <w:r>
        <w:t xml:space="preserve">: Qwen-2.5-7B-Instruct (7B), bf16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M4</w:t>
      </w:r>
      <w:r>
        <w:t xml:space="preserve">: Qwen-2.5-14B-Instruct (14B), 4-bit AWQ quantization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M5</w:t>
      </w:r>
      <w:r>
        <w:t xml:space="preserve">: Qwen-2.5-32B-Instruct (32B), 4-bit AWQ quantization</w:t>
      </w:r>
    </w:p>
    <w:p>
      <w:pPr>
        <w:pStyle w:val="FirstParagraph"/>
      </w:pPr>
      <w:r>
        <w:t xml:space="preserve">If a specific model is unavailable at data-collection time, it is substituted by the closest-size instruction-tuned open-weight model released before the pre-registration timestamp. Substitutions are logged in the deviations report.</w:t>
      </w:r>
    </w:p>
    <w:bookmarkEnd w:id="27"/>
    <w:bookmarkStart w:id="28" w:name="Xd33dd9f0dc4f2a5e1104240a6be5cf1107c9370"/>
    <w:p>
      <w:pPr>
        <w:pStyle w:val="Heading3"/>
      </w:pPr>
      <w:r>
        <w:t xml:space="preserve">3.4 Items (within-condition factor, nested in regime bin)</w:t>
      </w:r>
    </w:p>
    <w:p>
      <w:pPr>
        <w:pStyle w:val="FirstParagraph"/>
      </w:pPr>
      <w:r>
        <w:t xml:space="preserve">Item pool: 79 frames constructed per §3.6 of the operationalization chapter to span Knightian, ambiguity, and aleatory uncertainty types. Items are pre-screened in the pilot (Section 9 of this pre-registration) and binned by regime score; the primary analysis uses items in the top quartile (high-regime) and bottom quartile (low-regime). Middle 50% items are retained for robustness checks but not used in the primary inference.</w:t>
      </w:r>
    </w:p>
    <w:p>
      <w:pPr>
        <w:pStyle w:val="BodyText"/>
      </w:pPr>
      <w:r>
        <w:t xml:space="preserve">Expected sample composition after pre-screen:</w:t>
      </w:r>
      <w:r>
        <w:t xml:space="preserve"> </w:t>
      </w:r>
      <w:r>
        <w:t xml:space="preserve">- High-regime: ~20 items</w:t>
      </w:r>
      <w:r>
        <w:t xml:space="preserve"> </w:t>
      </w:r>
      <w:r>
        <w:t xml:space="preserve">- Low-regime: ~20 items</w:t>
      </w:r>
      <w:r>
        <w:t xml:space="preserve"> </w:t>
      </w:r>
      <w:r>
        <w:t xml:space="preserve">- Middle (excluded from primary): ~39 items</w:t>
      </w:r>
    </w:p>
    <w:bookmarkEnd w:id="28"/>
    <w:bookmarkStart w:id="29" w:name="total-observations"/>
    <w:p>
      <w:pPr>
        <w:pStyle w:val="Heading3"/>
      </w:pPr>
      <w:r>
        <w:t xml:space="preserve">3.5 Total observations</w:t>
      </w:r>
    </w:p>
    <w:p>
      <w:pPr>
        <w:pStyle w:val="FirstParagraph"/>
      </w:pPr>
      <w:r>
        <w:t xml:space="preserve">5 models × 79 frames × 5 conditions × 3 replications =</w:t>
      </w:r>
      <w:r>
        <w:t xml:space="preserve"> </w:t>
      </w:r>
      <w:r>
        <w:rPr>
          <w:b/>
          <w:bCs/>
        </w:rPr>
        <w:t xml:space="preserve">5,925 observations</w:t>
      </w:r>
      <w:r>
        <w:t xml:space="preserve"> </w:t>
      </w:r>
      <w:r>
        <w:t xml:space="preserve">total. Primary analysis uses 5 models × ~40 high-or-low-regime items × 5 conditions × 3 replications =</w:t>
      </w:r>
      <w:r>
        <w:t xml:space="preserve"> </w:t>
      </w:r>
      <w:r>
        <w:rPr>
          <w:b/>
          <w:bCs/>
        </w:rPr>
        <w:t xml:space="preserve">~3,000 observations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ampling-plan"/>
    <w:p>
      <w:pPr>
        <w:pStyle w:val="Heading2"/>
      </w:pPr>
      <w:r>
        <w:t xml:space="preserve">4. Sampling Plan</w:t>
      </w:r>
    </w:p>
    <w:bookmarkStart w:id="31" w:name="sample-size-justification-power-analysis"/>
    <w:p>
      <w:pPr>
        <w:pStyle w:val="Heading3"/>
      </w:pPr>
      <w:r>
        <w:t xml:space="preserve">4.1 Sample size justification (power analysis)</w:t>
      </w:r>
    </w:p>
    <w:p>
      <w:pPr>
        <w:pStyle w:val="FirstParagraph"/>
      </w:pPr>
      <w:r>
        <w:t xml:space="preserve">Effect size of interest: difference of slopes corresponding to ~10 percentage points accuracy change across the observed CoT-step range (from §3.5 of the operationalization chapter). At the per-(model, item, condition, replication) observation level this corresponds to a standardized effect size of approximately Cohen’s d = 0.3.</w:t>
      </w:r>
    </w:p>
    <w:p>
      <w:pPr>
        <w:pStyle w:val="BodyText"/>
      </w:pPr>
      <w:r>
        <w:t xml:space="preserve">Power for detecting the interaction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hierarchical model (Section 6) is conservatively estimated by treating the model-level random effect as fixed and computing within-item paired-condition power. With N = 40 items, 5 conditions per item, and effect size d = 0.3:</w:t>
      </w:r>
    </w:p>
    <w:p>
      <w:pPr>
        <w:pStyle w:val="Compact"/>
        <w:numPr>
          <w:ilvl w:val="0"/>
          <w:numId w:val="1004"/>
        </w:numPr>
      </w:pPr>
      <w:r>
        <w:t xml:space="preserve">Expected power at α = 0.05 (two-sided): approximately 0.92</w:t>
      </w:r>
    </w:p>
    <w:p>
      <w:pPr>
        <w:pStyle w:val="Compact"/>
        <w:numPr>
          <w:ilvl w:val="0"/>
          <w:numId w:val="1004"/>
        </w:numPr>
      </w:pPr>
      <w:r>
        <w:t xml:space="preserve">Expected power at α = 0.01 (two-sided): approximately 0.82</w:t>
      </w:r>
    </w:p>
    <w:p>
      <w:pPr>
        <w:pStyle w:val="FirstParagraph"/>
      </w:pPr>
      <w:r>
        <w:t xml:space="preserve">Both exceed the conventional 0.80 threshold. The full hierarchical specification (model-level random effects) gives additional power via partial pooling across models; we therefore consider the study adequately powered to detect the pre-specified effect size.</w:t>
      </w:r>
    </w:p>
    <w:bookmarkEnd w:id="31"/>
    <w:bookmarkStart w:id="32" w:name="sampling-of-items"/>
    <w:p>
      <w:pPr>
        <w:pStyle w:val="Heading3"/>
      </w:pPr>
      <w:r>
        <w:t xml:space="preserve">4.2 Sampling of items</w:t>
      </w:r>
    </w:p>
    <w:p>
      <w:pPr>
        <w:pStyle w:val="FirstParagraph"/>
      </w:pPr>
      <w:r>
        <w:t xml:space="preserve">Items are drawn from a single fixed pool of 79 frames developed in §4 (benchmark design chapter). No replacement, no oversampling. Pilot pre-screen on Mistral-7B + 10 representative frames identifies whether the regime score successfully separates items as predicted; if it does not, the operationalization (§3.2-§3.3) is revised before full data collection and this pre-registration is amended (Section 9).</w:t>
      </w:r>
    </w:p>
    <w:bookmarkEnd w:id="32"/>
    <w:bookmarkStart w:id="33" w:name="sampling-of-conditions"/>
    <w:p>
      <w:pPr>
        <w:pStyle w:val="Heading3"/>
      </w:pPr>
      <w:r>
        <w:t xml:space="preserve">4.3 Sampling of conditions</w:t>
      </w:r>
    </w:p>
    <w:p>
      <w:pPr>
        <w:pStyle w:val="FirstParagraph"/>
      </w:pPr>
      <w:r>
        <w:t xml:space="preserve">All 5 conditions are presented for every (model, item) pair. No condition is added or dropped between pilot and full study unless documented as a pre-data deviation.</w:t>
      </w:r>
    </w:p>
    <w:bookmarkEnd w:id="33"/>
    <w:bookmarkStart w:id="34" w:name="replications"/>
    <w:p>
      <w:pPr>
        <w:pStyle w:val="Heading3"/>
      </w:pPr>
      <w:r>
        <w:t xml:space="preserve">4.4 Replications</w:t>
      </w:r>
    </w:p>
    <w:p>
      <w:pPr>
        <w:pStyle w:val="FirstParagraph"/>
      </w:pPr>
      <w:r>
        <w:t xml:space="preserve">Three replications per (model, item, condition) cell. Replications differ in: (a) sampling seed (each replication uses a distinct random seed for the model’s temperature-T sampling), (b) prompt phrasing (where signature (a) of the regime score is computed across replications, the prompts are systematically varied; for the primary analysis, the canonical phrasing is used in replication 1, and replications 2-3 use rephrasings).</w:t>
      </w:r>
    </w:p>
    <w:bookmarkEnd w:id="34"/>
    <w:bookmarkStart w:id="35" w:name="exclusion-criteria"/>
    <w:p>
      <w:pPr>
        <w:pStyle w:val="Heading3"/>
      </w:pPr>
      <w:r>
        <w:t xml:space="preserve">4.5 Exclusion criteria</w:t>
      </w:r>
    </w:p>
    <w:p>
      <w:pPr>
        <w:pStyle w:val="Compact"/>
        <w:numPr>
          <w:ilvl w:val="0"/>
          <w:numId w:val="1005"/>
        </w:numPr>
      </w:pPr>
      <w:r>
        <w:t xml:space="preserve">Refused responses (model declines to answer): excluded from the analysis cell, replaced by an additional replication where possible.</w:t>
      </w:r>
    </w:p>
    <w:p>
      <w:pPr>
        <w:pStyle w:val="Compact"/>
        <w:numPr>
          <w:ilvl w:val="0"/>
          <w:numId w:val="1005"/>
        </w:numPr>
      </w:pPr>
      <w:r>
        <w:t xml:space="preserve">Malformed responses (cannot extract an answer): same handling.</w:t>
      </w:r>
    </w:p>
    <w:p>
      <w:pPr>
        <w:pStyle w:val="Compact"/>
        <w:numPr>
          <w:ilvl w:val="0"/>
          <w:numId w:val="1005"/>
        </w:numPr>
      </w:pPr>
      <w:r>
        <w:t xml:space="preserve">Items with &gt;50% refusal rate across (model, condition) cells: dropped from primary analysis, reported in supplementary.</w:t>
      </w:r>
    </w:p>
    <w:bookmarkEnd w:id="35"/>
    <w:bookmarkStart w:id="36" w:name="stopping-rule"/>
    <w:p>
      <w:pPr>
        <w:pStyle w:val="Heading3"/>
      </w:pPr>
      <w:r>
        <w:t xml:space="preserve">4.6 Stopping rule</w:t>
      </w:r>
    </w:p>
    <w:p>
      <w:pPr>
        <w:pStyle w:val="FirstParagraph"/>
      </w:pPr>
      <w:r>
        <w:t xml:space="preserve">Data collection runs to the pre-specified sample size (5,925 observations). No optional stopping. No interim analyses on the confirmatory hypothesis until data collection is complete.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variables"/>
    <w:p>
      <w:pPr>
        <w:pStyle w:val="Heading2"/>
      </w:pPr>
      <w:r>
        <w:t xml:space="preserve">5. Variables</w:t>
      </w:r>
    </w:p>
    <w:bookmarkStart w:id="38" w:name="dependent-variable"/>
    <w:p>
      <w:pPr>
        <w:pStyle w:val="Heading3"/>
      </w:pPr>
      <w:r>
        <w:t xml:space="preserve">5.1 Dependent variable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): binary indicator of whether the model’s extracted answer matches the gold-standard answer for the item. For Knightian items where no single objective ground truth exists, accuracy is replaced by</w:t>
      </w:r>
      <w:r>
        <w:t xml:space="preserve"> </w:t>
      </w:r>
      <w:r>
        <w:rPr>
          <w:b/>
          <w:bCs/>
        </w:rPr>
        <w:t xml:space="preserve">expert-panel-rated coherence</w:t>
      </w:r>
      <w:r>
        <w:t xml:space="preserve"> </w:t>
      </w:r>
      <w:r>
        <w:t xml:space="preserve">(3-expert majority on a 5-point coherence scale, binarized at the median). Pre-registered: this replacement applies only to items in the</w:t>
      </w:r>
      <w:r>
        <w:t xml:space="preserve"> </w:t>
      </w:r>
      <w:r>
        <w:t xml:space="preserve">“Knightian”</w:t>
      </w:r>
      <w:r>
        <w:t xml:space="preserve"> </w:t>
      </w:r>
      <w:r>
        <w:t xml:space="preserve">sub-category of the benchmark.</w:t>
      </w:r>
    </w:p>
    <w:bookmarkEnd w:id="38"/>
    <w:bookmarkStart w:id="39" w:name="primary-independent-variables"/>
    <w:p>
      <w:pPr>
        <w:pStyle w:val="Heading3"/>
      </w:pPr>
      <w:r>
        <w:t xml:space="preserve">5.2 Primary independent variables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steps_{ij}</w:t>
      </w:r>
      <w:r>
        <w:t xml:space="preserve">: realized number of reasoning steps in the model’s CoT trace. Computed by sentence-level segmentation of the response (with paragraph-level robustness check in §3.8).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regime_i</w:t>
      </w:r>
      <w:r>
        <w:t xml:space="preserve">: binary high-regime indicator (1 = top quartile of regime score, 0 = bottom quartile).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regime × steps</w:t>
      </w:r>
      <w:r>
        <w:t xml:space="preserve">: interaction term (the primary test).</w:t>
      </w:r>
    </w:p>
    <w:bookmarkEnd w:id="39"/>
    <w:bookmarkStart w:id="40" w:name="controls-random-effects"/>
    <w:p>
      <w:pPr>
        <w:pStyle w:val="Heading3"/>
      </w:pPr>
      <w:r>
        <w:t xml:space="preserve">5.3 Controls / random effects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</w:t>
      </w:r>
      <w:r>
        <w:t xml:space="preserve">: 5-level factor entered as model-level random intercept and random slope on steps.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item</w:t>
      </w:r>
      <w:r>
        <w:t xml:space="preserve">: random intercept (within regime bin).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condition</w:t>
      </w:r>
      <w:r>
        <w:t xml:space="preserve">: 5-level fixed effect controlling for prompt template baseline (the</w:t>
      </w:r>
      <w:r>
        <w:t xml:space="preserve"> </w:t>
      </w:r>
      <w:r>
        <w:t xml:space="preserve">“target”</w:t>
      </w:r>
      <w:r>
        <w:t xml:space="preserve"> </w:t>
      </w:r>
      <w:r>
        <w:t xml:space="preserve">CoT length is not the only thing the prompt manipulates; the random slope on the realized step count is the substantive variable).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 seed</w:t>
      </w:r>
      <w:r>
        <w:t xml:space="preserve">: not modeled (averaged within cell).</w:t>
      </w:r>
    </w:p>
    <w:bookmarkEnd w:id="40"/>
    <w:bookmarkStart w:id="41" w:name="operational-definition-of-step-count"/>
    <w:p>
      <w:pPr>
        <w:pStyle w:val="Heading3"/>
      </w:pPr>
      <w:r>
        <w:t xml:space="preserve">5.4 Operational definition of step count</w:t>
      </w:r>
    </w:p>
    <w:p>
      <w:pPr>
        <w:pStyle w:val="FirstParagraph"/>
      </w:pPr>
      <w:r>
        <w:t xml:space="preserve">A reasoning step is a sentence in the CoT trace that contains at least one of: (a) inferential connective (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 etc.), (b) intermediate computation, (c) intermediate claim about the task. Sentences that only meta-comment (</w:t>
      </w:r>
      <w:r>
        <w:t xml:space="preserve">“Let me think about this”</w:t>
      </w:r>
      <w:r>
        <w:t xml:space="preserve">) are not counted as steps. Step-counting is automated via a pre-specified regex + LLM-judge pipeline; inter-rater reliability against a 100-item human-coded subsample must exceed Cohen’s κ = 0.7 before automated counts are used in the primary analysis.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nalysis-plan"/>
    <w:p>
      <w:pPr>
        <w:pStyle w:val="Heading2"/>
      </w:pPr>
      <w:r>
        <w:t xml:space="preserve">6. Analysis Plan</w:t>
      </w:r>
    </w:p>
    <w:bookmarkStart w:id="43" w:name="primary-analysis-model"/>
    <w:p>
      <w:pPr>
        <w:pStyle w:val="Heading3"/>
      </w:pPr>
      <w:r>
        <w:t xml:space="preserve">6.1 Primary analysis model</w:t>
      </w:r>
    </w:p>
    <w:p>
      <w:pPr>
        <w:pStyle w:val="FirstParagraph"/>
      </w:pPr>
      <w:r>
        <w:t xml:space="preserve">Hierarchical Bayesian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u</m:t>
          </m:r>
          <m:r>
            <m:rPr>
              <m:sty m:val="p"/>
            </m:rPr>
            <m:t>l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logistic function,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model-level random intercept and random slope,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item-level random intercept,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i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indexes the model for observation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Priors: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2.5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logit scale)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(weakly informative on the standardized step scale)</w:t>
      </w:r>
      <w:r>
        <w:t xml:space="preserve"> </w:t>
      </w:r>
      <w:r>
        <w:t xml:space="preserve">- Random effect SDs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Implementation: PyMC (Bayesian sampling). 4 chains, 2000 warm-up + 2000 sampling iterations each. Convergence: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1.01</m:t>
        </m:r>
      </m:oMath>
      <w:r>
        <w:t xml:space="preserve">, ESS &gt; 400 per parameter.</w:t>
      </w:r>
    </w:p>
    <w:bookmarkEnd w:id="43"/>
    <w:bookmarkStart w:id="44" w:name="primary-inference-statistic"/>
    <w:p>
      <w:pPr>
        <w:pStyle w:val="Heading3"/>
      </w:pPr>
      <w:r>
        <w:t xml:space="preserve">6.2 Primary inference statistic</w:t>
      </w:r>
    </w:p>
    <w:p>
      <w:pPr>
        <w:pStyle w:val="FirstParagraph"/>
      </w:pPr>
      <w:r>
        <w:rPr>
          <w:b/>
          <w:bCs/>
        </w:rPr>
        <w:t xml:space="preserve">Posterior probability that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(i.e., the slope reverses sign in the high-regime bin), 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Confirmatory threshold: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.</w:t>
      </w:r>
    </w:p>
    <w:bookmarkEnd w:id="44"/>
    <w:bookmarkStart w:id="45" w:name="effect-size-reporting"/>
    <w:p>
      <w:pPr>
        <w:pStyle w:val="Heading3"/>
      </w:pPr>
      <w:r>
        <w:t xml:space="preserve">6.3 Effect-size reporting</w:t>
      </w:r>
    </w:p>
    <w:p>
      <w:pPr>
        <w:pStyle w:val="FirstParagraph"/>
      </w:pPr>
      <w:r>
        <w:t xml:space="preserve">Reported alongside the posterior probability:</w:t>
      </w:r>
      <w:r>
        <w:t xml:space="preserve"> </w:t>
      </w:r>
      <w:r>
        <w:t xml:space="preserve">- Posterior median and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- Implied within-bin slope of accuracy on step count for both high- and low-regime, on the probability scale (computed via posterior-predictive simulation).</w:t>
      </w:r>
      <w:r>
        <w:t xml:space="preserve"> </w:t>
      </w:r>
      <w:r>
        <w:t xml:space="preserve">- Implied accuracy drop in percentage points from minimum to maximum observed step count in the high-regime bin, for each model.</w:t>
      </w:r>
    </w:p>
    <w:bookmarkEnd w:id="45"/>
    <w:bookmarkStart w:id="46" w:name="Xff3a04685c8acf9fc21ce8d184808a1ad394dc4"/>
    <w:p>
      <w:pPr>
        <w:pStyle w:val="Heading3"/>
      </w:pPr>
      <w:r>
        <w:t xml:space="preserve">6.4 Sensitivity / robustness checks (pre-specified)</w:t>
      </w:r>
    </w:p>
    <w:p>
      <w:pPr>
        <w:pStyle w:val="FirstParagraph"/>
      </w:pPr>
      <w:r>
        <w:t xml:space="preserve">Performed regardless of primary result; reported in supplementary: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R1</w:t>
      </w:r>
      <w:r>
        <w:t xml:space="preserve">: Re-fit (6.1) with paragraph-level rather than sentence-level step segmentation.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R2</w:t>
      </w:r>
      <w:r>
        <w:t xml:space="preserve">: Re-fit (6.1) using terciles rather than quartiles for regime binning, and on the full continuous regime score (no binning) with a linear interaction term.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R3</w:t>
      </w:r>
      <w:r>
        <w:t xml:space="preserve">: Re-fit (6.1) using the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regime score (dropping calibration error), per the §3.7 simulate-and-recover finding.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R4</w:t>
      </w:r>
      <w:r>
        <w:t xml:space="preserve">: Re-fit (6.1) on items not used in regime-score calibration (held-out subset), to rule out double-dipping.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R5</w:t>
      </w:r>
      <w:r>
        <w:t xml:space="preserve">: Fit (6.1) separately per model, report consistency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sign across models.</w:t>
      </w:r>
    </w:p>
    <w:bookmarkEnd w:id="46"/>
    <w:bookmarkStart w:id="47" w:name="multiple-comparisons"/>
    <w:p>
      <w:pPr>
        <w:pStyle w:val="Heading3"/>
      </w:pPr>
      <w:r>
        <w:t xml:space="preserve">6.5 Multiple comparisons</w:t>
      </w:r>
    </w:p>
    <w:p>
      <w:pPr>
        <w:pStyle w:val="FirstParagraph"/>
      </w:pPr>
      <w:r>
        <w:t xml:space="preserve">Primary inference is a single test (the posterior probability for H1). H2 and H3 are confirmatory but logically distinct hypotheses tested separately; no correction is applied across H1/H2/H3 because each addresses a different theoretical claim. Robustness checks R1-R5 are not used to update the confirmatory inference; they probe the conditional invariance of the result.</w:t>
      </w:r>
    </w:p>
    <w:p>
      <w:pPr>
        <w:pStyle w:val="BodyText"/>
      </w:pPr>
      <w:r>
        <w:t xml:space="preserve">Exploratory analyses (E1-E3) are reported with Bayes factors and the explicit</w:t>
      </w:r>
      <w:r>
        <w:t xml:space="preserve"> </w:t>
      </w:r>
      <w:r>
        <w:t xml:space="preserve">“exploratory”</w:t>
      </w:r>
      <w:r>
        <w:t xml:space="preserve"> </w:t>
      </w:r>
      <w:r>
        <w:t xml:space="preserve">label; they are not used to support confirmatory claims.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inference-criteria-and-falsification"/>
    <w:p>
      <w:pPr>
        <w:pStyle w:val="Heading2"/>
      </w:pPr>
      <w:r>
        <w:t xml:space="preserve">7. Inference Criteria and Falsification</w:t>
      </w:r>
    </w:p>
    <w:bookmarkStart w:id="49" w:name="confirmation-positive-result"/>
    <w:p>
      <w:pPr>
        <w:pStyle w:val="Heading3"/>
      </w:pPr>
      <w:r>
        <w:t xml:space="preserve">7.1 Confirmation (positive result)</w:t>
      </w:r>
    </w:p>
    <w:p>
      <w:pPr>
        <w:pStyle w:val="FirstParagraph"/>
      </w:pPr>
      <w:r>
        <w:t xml:space="preserve">H1 is confirmed iff all three of: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t> 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t> 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.</w:t>
      </w:r>
      <w:r>
        <w:t xml:space="preserve"> </w:t>
      </w:r>
      <w:r>
        <w:t xml:space="preserve">2. The implied accuracy drop in the high-regime bin (between min and max observed step count) exceeds 10 percentage points in the posterior median.</w:t>
      </w:r>
      <w:r>
        <w:t xml:space="preserve"> </w:t>
      </w:r>
      <w:r>
        <w:t xml:space="preserve">3. The implied slope in the low-regime bin is non-negative in the posterior median.</w:t>
      </w:r>
    </w:p>
    <w:bookmarkEnd w:id="49"/>
    <w:bookmarkStart w:id="50" w:name="X4174f5c7c82e6cccbb0f09c46ebb6baa73d2d51"/>
    <w:p>
      <w:pPr>
        <w:pStyle w:val="Heading3"/>
      </w:pPr>
      <w:r>
        <w:t xml:space="preserve">7.2 Falsification (negative result that updates the framework)</w:t>
      </w:r>
    </w:p>
    <w:p>
      <w:pPr>
        <w:pStyle w:val="FirstParagraph"/>
      </w:pPr>
      <w:r>
        <w:t xml:space="preserve">H1 is falsified iff: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(the interaction is in the opposite direction with high posterior probability), or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but the implied accuracy drop is &lt; 5 percentage points (the directional effect is real but practically negligible — the framework predicts a substantive failure mode, not a noise-level effect).</w:t>
      </w:r>
    </w:p>
    <w:bookmarkEnd w:id="50"/>
    <w:bookmarkStart w:id="51" w:name="inconclusive"/>
    <w:p>
      <w:pPr>
        <w:pStyle w:val="Heading3"/>
      </w:pPr>
      <w:r>
        <w:t xml:space="preserve">7.3 Inconclusive</w:t>
      </w:r>
    </w:p>
    <w:p>
      <w:pPr>
        <w:pStyle w:val="FirstParagraph"/>
      </w:pPr>
      <w:r>
        <w:t xml:space="preserve">Any other outcome (e.g.,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, or directional effect with 5-10pp implied drop). Reported transparently as inconclusive; framework remains plausible but unconfirmed.</w:t>
      </w:r>
    </w:p>
    <w:bookmarkEnd w:id="51"/>
    <w:bookmarkStart w:id="52" w:name="what-we-will-not-do"/>
    <w:p>
      <w:pPr>
        <w:pStyle w:val="Heading3"/>
      </w:pPr>
      <w:r>
        <w:t xml:space="preserve">7.4 What we will NOT do</w:t>
      </w:r>
    </w:p>
    <w:p>
      <w:pPr>
        <w:pStyle w:val="Compact"/>
        <w:numPr>
          <w:ilvl w:val="0"/>
          <w:numId w:val="1009"/>
        </w:numPr>
      </w:pPr>
      <w:r>
        <w:t xml:space="preserve">Run additional analyses to</w:t>
      </w:r>
      <w:r>
        <w:t xml:space="preserve"> </w:t>
      </w:r>
      <w:r>
        <w:t xml:space="preserve">“rescue”</w:t>
      </w:r>
      <w:r>
        <w:t xml:space="preserve"> </w:t>
      </w:r>
      <w:r>
        <w:t xml:space="preserve">a non-confirmatory result and report them as confirmatory.</w:t>
      </w:r>
    </w:p>
    <w:p>
      <w:pPr>
        <w:pStyle w:val="Compact"/>
        <w:numPr>
          <w:ilvl w:val="0"/>
          <w:numId w:val="1009"/>
        </w:numPr>
      </w:pPr>
      <w:r>
        <w:t xml:space="preserve">Re-bin items or change regime thresholds after seeing primary results.</w:t>
      </w:r>
    </w:p>
    <w:p>
      <w:pPr>
        <w:pStyle w:val="Compact"/>
        <w:numPr>
          <w:ilvl w:val="0"/>
          <w:numId w:val="1009"/>
        </w:numPr>
      </w:pPr>
      <w:r>
        <w:t xml:space="preserve">Cherry-pick subsets of models or items to recover effects.</w:t>
      </w:r>
    </w:p>
    <w:p>
      <w:pPr>
        <w:pStyle w:val="Compact"/>
        <w:numPr>
          <w:ilvl w:val="0"/>
          <w:numId w:val="1009"/>
        </w:numPr>
      </w:pPr>
      <w:r>
        <w:t xml:space="preserve">Add or remove items, conditions, or models after pre-registration without amendment.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nfound-controls"/>
    <w:p>
      <w:pPr>
        <w:pStyle w:val="Heading2"/>
      </w:pPr>
      <w:r>
        <w:t xml:space="preserve">8. Confound Controls</w:t>
      </w:r>
    </w:p>
    <w:p>
      <w:pPr>
        <w:pStyle w:val="FirstParagraph"/>
      </w:pPr>
      <w:r>
        <w:t xml:space="preserve">The three confound mechanisms identified in §3.8 of the operationalization chapter receive paired control item sets:</w:t>
      </w:r>
    </w:p>
    <w:bookmarkStart w:id="54" w:name="X66177627f7e39a0d44ac927a92338f89511b453"/>
    <w:p>
      <w:pPr>
        <w:pStyle w:val="Heading3"/>
      </w:pPr>
      <w:r>
        <w:t xml:space="preserve">8.1 Prompt-sensitivity baseline (controls signature a)</w:t>
      </w:r>
    </w:p>
    <w:p>
      <w:pPr>
        <w:pStyle w:val="FirstParagraph"/>
      </w:pPr>
      <w:r>
        <w:t xml:space="preserve">Reference set of 10 items with well-attested ground truth (textbook arithmetic, well-known historical facts, standard math identities). Pre-registered prediction: reference items do NOT score in the high-regime bin. If they do, signature (a) is contaminated by base-rate prompt sensitivity; we apply per-model prompt-sensitivity correction (subtract per-model baseline cross-prompt variance on reference items) and re-run the primary analysis.</w:t>
      </w:r>
    </w:p>
    <w:bookmarkEnd w:id="54"/>
    <w:bookmarkStart w:id="55" w:name="aleatory-control-controls-signature-b"/>
    <w:p>
      <w:pPr>
        <w:pStyle w:val="Heading3"/>
      </w:pPr>
      <w:r>
        <w:t xml:space="preserve">8.2 Aleatory control (controls signature b)</w:t>
      </w:r>
    </w:p>
    <w:p>
      <w:pPr>
        <w:pStyle w:val="FirstParagraph"/>
      </w:pPr>
      <w:r>
        <w:t xml:space="preserve">Set of 10 items with high inherent stochasticity but no meta-uncertainty (e.g.,</w:t>
      </w:r>
      <w:r>
        <w:t xml:space="preserve"> </w:t>
      </w:r>
      <w:r>
        <w:t xml:space="preserve">“predict the outcome of a fair coin flip”</w:t>
      </w:r>
      <w:r>
        <w:t xml:space="preserve">). Pre-registered prediction: aleatory items may show high cross-seed variance but should NOT show the CoT-degradation pattern. If they do, the regime score is confounded with aleatory uncertainty.</w:t>
      </w:r>
    </w:p>
    <w:bookmarkEnd w:id="55"/>
    <w:bookmarkStart w:id="56" w:name="X2d3520b214c8ac876b988b014be4da3cc4b918c"/>
    <w:p>
      <w:pPr>
        <w:pStyle w:val="Heading3"/>
      </w:pPr>
      <w:r>
        <w:t xml:space="preserve">8.3 Per-model calibration baseline (controls signature c)</w:t>
      </w:r>
    </w:p>
    <w:p>
      <w:pPr>
        <w:pStyle w:val="FirstParagraph"/>
      </w:pPr>
      <w:r>
        <w:t xml:space="preserve">For each model, calibration error on a fixed 30-item well-defined probe set is computed and subtracted from per-item calibration error before z-standardization. If signature (c) carries weight in the final regime score, this correction prevents per-model calibration quirks from dominating the regime assignment.</w:t>
      </w:r>
    </w:p>
    <w:bookmarkEnd w:id="56"/>
    <w:bookmarkStart w:id="57" w:name="reporting"/>
    <w:p>
      <w:pPr>
        <w:pStyle w:val="Heading3"/>
      </w:pPr>
      <w:r>
        <w:t xml:space="preserve">8.4 Reporting</w:t>
      </w:r>
    </w:p>
    <w:p>
      <w:pPr>
        <w:pStyle w:val="FirstParagraph"/>
      </w:pPr>
      <w:r>
        <w:t xml:space="preserve">All three control comparisons are reported in the primary results section as confirmatory tests of the regime score’s validity. A failure on any one is reported transparently and the affected signature is either corrected (via the specified procedure) or dropped from the aggregator.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eviations-protocol"/>
    <w:p>
      <w:pPr>
        <w:pStyle w:val="Heading2"/>
      </w:pPr>
      <w:r>
        <w:t xml:space="preserve">9. Deviations Protocol</w:t>
      </w:r>
    </w:p>
    <w:bookmarkStart w:id="59" w:name="pilot-driven-amendments-permitted"/>
    <w:p>
      <w:pPr>
        <w:pStyle w:val="Heading3"/>
      </w:pPr>
      <w:r>
        <w:t xml:space="preserve">9.1 Pilot-driven amendments (permitted)</w:t>
      </w:r>
    </w:p>
    <w:p>
      <w:pPr>
        <w:pStyle w:val="FirstParagraph"/>
      </w:pPr>
      <w:r>
        <w:t xml:space="preserve">The §4 pilot may reveal that:</w:t>
      </w:r>
      <w:r>
        <w:t xml:space="preserve"> </w:t>
      </w:r>
      <w:r>
        <w:t xml:space="preserve">- The regime score does not separate items in the expected direction.</w:t>
      </w:r>
      <w:r>
        <w:t xml:space="preserve"> </w:t>
      </w:r>
      <w:r>
        <w:t xml:space="preserve">- Step counting is unreliable below the pre-specified κ = 0.7 threshold.</w:t>
      </w:r>
      <w:r>
        <w:t xml:space="preserve"> </w:t>
      </w:r>
      <w:r>
        <w:t xml:space="preserve">- One or more conditions produces uninterpretable responses.</w:t>
      </w:r>
    </w:p>
    <w:p>
      <w:pPr>
        <w:pStyle w:val="BodyText"/>
      </w:pPr>
      <w:r>
        <w:t xml:space="preserve">If any of the above occurs, the operationalization is revised before full data collection, and this pre-registration is</w:t>
      </w:r>
      <w:r>
        <w:t xml:space="preserve"> </w:t>
      </w:r>
      <w:r>
        <w:rPr>
          <w:b/>
          <w:bCs/>
        </w:rPr>
        <w:t xml:space="preserve">amended</w:t>
      </w:r>
      <w:r>
        <w:t xml:space="preserve"> </w:t>
      </w:r>
      <w:r>
        <w:t xml:space="preserve">(timestamped, visible on OSF, with the change rationale documented). Amendment occurs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full study begins, not after data is collected.</w:t>
      </w:r>
    </w:p>
    <w:bookmarkEnd w:id="59"/>
    <w:bookmarkStart w:id="60" w:name="model-substitution-rule-permitted"/>
    <w:p>
      <w:pPr>
        <w:pStyle w:val="Heading3"/>
      </w:pPr>
      <w:r>
        <w:t xml:space="preserve">9.2 Model-substitution rule (permitted)</w:t>
      </w:r>
    </w:p>
    <w:p>
      <w:pPr>
        <w:pStyle w:val="FirstParagraph"/>
      </w:pPr>
      <w:r>
        <w:t xml:space="preserve">If a specific model is unavailable at data collection (deprecated, weights removed, infrastructure-incompatible), it is substituted by the closest-size instruction-tuned open-weight model released before this pre-registration’s timestamp. Substitutions are logged in the deviations report.</w:t>
      </w:r>
    </w:p>
    <w:bookmarkEnd w:id="60"/>
    <w:bookmarkStart w:id="61" w:name="X475a77abc4c57de7039097237763c495bbcbed2"/>
    <w:p>
      <w:pPr>
        <w:pStyle w:val="Heading3"/>
      </w:pPr>
      <w:r>
        <w:t xml:space="preserve">9.3 Post-data-collection deviations (not permitted for confirmatory analyses)</w:t>
      </w:r>
    </w:p>
    <w:p>
      <w:pPr>
        <w:pStyle w:val="FirstParagraph"/>
      </w:pPr>
      <w:r>
        <w:t xml:space="preserve">After full-study data collection begins, no changes to (6.1), the regime bins, the conditions, or the items are allowed for the confirmatory analyses. Any post-collection observation that warrants further investigation is reported as exploratory.</w:t>
      </w:r>
    </w:p>
    <w:bookmarkEnd w:id="61"/>
    <w:bookmarkStart w:id="62" w:name="disclosure"/>
    <w:p>
      <w:pPr>
        <w:pStyle w:val="Heading3"/>
      </w:pPr>
      <w:r>
        <w:t xml:space="preserve">9.4 Disclosure</w:t>
      </w:r>
    </w:p>
    <w:p>
      <w:pPr>
        <w:pStyle w:val="FirstParagraph"/>
      </w:pPr>
      <w:r>
        <w:t xml:space="preserve">All deviations — pilot-driven or otherwise — are disclosed in the manuscript and on the OSF project page. Even minor deviations (e.g., dropping one item due to data corruption) are logged.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ata-and-code-sharing"/>
    <w:p>
      <w:pPr>
        <w:pStyle w:val="Heading2"/>
      </w:pPr>
      <w:r>
        <w:t xml:space="preserve">10. Data and Code Sharing</w:t>
      </w:r>
    </w:p>
    <w:bookmarkStart w:id="64" w:name="code"/>
    <w:p>
      <w:pPr>
        <w:pStyle w:val="Heading3"/>
      </w:pPr>
      <w:r>
        <w:t xml:space="preserve">10.1 Code</w:t>
      </w:r>
    </w:p>
    <w:p>
      <w:pPr>
        <w:pStyle w:val="FirstParagraph"/>
      </w:pPr>
      <w:r>
        <w:t xml:space="preserve">All code (data collection pipeline, regime-score estimator, step-counting pipeline, analysis scripts, plotting code) released under MIT license. Repository URL to be inserted at first commit (target:</w:t>
      </w:r>
      <w:r>
        <w:t xml:space="preserve"> </w:t>
      </w:r>
      <w:r>
        <w:rPr>
          <w:rStyle w:val="VerbatimChar"/>
        </w:rPr>
        <w:t xml:space="preserve">https://github.com/&lt;EvolutionAIry-handle&gt;/free-energy-heuristics</w:t>
      </w:r>
      <w:r>
        <w:t xml:space="preserve">); see Appendix C for the OSF-submission addendum protocol. Release at manuscript submission with immutable git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bookmarkEnd w:id="64"/>
    <w:bookmarkStart w:id="65" w:name="data"/>
    <w:p>
      <w:pPr>
        <w:pStyle w:val="Heading3"/>
      </w:pPr>
      <w:r>
        <w:t xml:space="preserve">10.2 Data</w:t>
      </w:r>
    </w:p>
    <w:p>
      <w:pPr>
        <w:pStyle w:val="Compact"/>
        <w:numPr>
          <w:ilvl w:val="0"/>
          <w:numId w:val="1010"/>
        </w:numPr>
      </w:pPr>
      <w:r>
        <w:t xml:space="preserve">Raw LLM responses (per model, per item, per condition, per replication): JSON files,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Item set with regime scores: CSV,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Analysis-ready data frame (responses × predictors × outcome): Parquet, CC-BY-4.0, hosted on OSF.</w:t>
      </w:r>
    </w:p>
    <w:p>
      <w:pPr>
        <w:pStyle w:val="Compact"/>
        <w:numPr>
          <w:ilvl w:val="0"/>
          <w:numId w:val="1010"/>
        </w:numPr>
      </w:pPr>
      <w:r>
        <w:t xml:space="preserve">Hierarchical Bayes posterior samples: NetCDF (via ArviZ), hosted on OSF.</w:t>
      </w:r>
    </w:p>
    <w:bookmarkEnd w:id="65"/>
    <w:bookmarkStart w:id="66" w:name="replicability-commitments"/>
    <w:p>
      <w:pPr>
        <w:pStyle w:val="Heading3"/>
      </w:pPr>
      <w:r>
        <w:t xml:space="preserve">10.3 Replicability commitments</w:t>
      </w:r>
    </w:p>
    <w:p>
      <w:pPr>
        <w:pStyle w:val="Compact"/>
        <w:numPr>
          <w:ilvl w:val="0"/>
          <w:numId w:val="1011"/>
        </w:numPr>
      </w:pPr>
      <w:r>
        <w:t xml:space="preserve">Random seeds for all LLM samplings and Bayesian chains are recorded and released with the data.</w:t>
      </w:r>
    </w:p>
    <w:p>
      <w:pPr>
        <w:pStyle w:val="Compact"/>
        <w:numPr>
          <w:ilvl w:val="0"/>
          <w:numId w:val="1011"/>
        </w:numPr>
      </w:pPr>
      <w:r>
        <w:t xml:space="preserve">A single-command replication script reproduces all primary and supplementary results from the released data and code.</w:t>
      </w:r>
    </w:p>
    <w:p>
      <w:pPr>
        <w:pStyle w:val="Compact"/>
        <w:numPr>
          <w:ilvl w:val="0"/>
          <w:numId w:val="1011"/>
        </w:numPr>
      </w:pPr>
      <w:r>
        <w:t xml:space="preserve">Hardware environment (GPU model, CUDA version, library versions) is documented.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imeline"/>
    <w:p>
      <w:pPr>
        <w:pStyle w:val="Heading2"/>
      </w:pPr>
      <w:r>
        <w:t xml:space="preserve">11. Timeline</w:t>
      </w:r>
    </w:p>
    <w:p>
      <w:pPr>
        <w:pStyle w:val="Compact"/>
        <w:numPr>
          <w:ilvl w:val="0"/>
          <w:numId w:val="1012"/>
        </w:numPr>
      </w:pPr>
      <w:r>
        <w:t xml:space="preserve">T0 (week 0): Pre-registration upload to OSF; theoretical pre-print posted to arXiv.</w:t>
      </w:r>
    </w:p>
    <w:p>
      <w:pPr>
        <w:pStyle w:val="Compact"/>
        <w:numPr>
          <w:ilvl w:val="0"/>
          <w:numId w:val="1012"/>
        </w:numPr>
      </w:pPr>
      <w:r>
        <w:t xml:space="preserve">T0 + 1 week: §4 pilot data collection (Mistral-7B + 10 frames, all conditions).</w:t>
      </w:r>
    </w:p>
    <w:p>
      <w:pPr>
        <w:pStyle w:val="Compact"/>
        <w:numPr>
          <w:ilvl w:val="0"/>
          <w:numId w:val="1012"/>
        </w:numPr>
      </w:pPr>
      <w:r>
        <w:t xml:space="preserve">T0 + 2 weeks: Pilot analysis; pre-registration amendment if needed.</w:t>
      </w:r>
    </w:p>
    <w:p>
      <w:pPr>
        <w:pStyle w:val="Compact"/>
        <w:numPr>
          <w:ilvl w:val="0"/>
          <w:numId w:val="1012"/>
        </w:numPr>
      </w:pPr>
      <w:r>
        <w:t xml:space="preserve">T0 + 3 to 6 weeks: Full data collection across 5 models × 79 frames × 5 conditions × 3 replications.</w:t>
      </w:r>
    </w:p>
    <w:p>
      <w:pPr>
        <w:pStyle w:val="Compact"/>
        <w:numPr>
          <w:ilvl w:val="0"/>
          <w:numId w:val="1012"/>
        </w:numPr>
      </w:pPr>
      <w:r>
        <w:t xml:space="preserve">T0 + 7 weeks: Analysis, manuscript draft.</w:t>
      </w:r>
    </w:p>
    <w:p>
      <w:pPr>
        <w:pStyle w:val="Compact"/>
        <w:numPr>
          <w:ilvl w:val="0"/>
          <w:numId w:val="1012"/>
        </w:numPr>
      </w:pPr>
      <w:r>
        <w:t xml:space="preserve">T0 + 9 weeks: Adversarial review pass.</w:t>
      </w:r>
    </w:p>
    <w:p>
      <w:pPr>
        <w:pStyle w:val="Compact"/>
        <w:numPr>
          <w:ilvl w:val="0"/>
          <w:numId w:val="1012"/>
        </w:numPr>
      </w:pPr>
      <w:r>
        <w:t xml:space="preserve">T0 + 10 weeks: arXiv full paper.</w:t>
      </w:r>
    </w:p>
    <w:p>
      <w:pPr>
        <w:pStyle w:val="Compact"/>
        <w:numPr>
          <w:ilvl w:val="0"/>
          <w:numId w:val="1012"/>
        </w:numPr>
      </w:pPr>
      <w:r>
        <w:t xml:space="preserve">T0 + 12 weeks: Submission to peer-reviewed venue (target: NeurIPS / ICML / Cognition / Psychological Review depending on framing).</w:t>
      </w:r>
    </w:p>
    <w:p>
      <w:r>
        <w:pict>
          <v:rect style="width:0;height:1.5pt" o:hralign="center" o:hrstd="t" o:hr="t"/>
        </w:pict>
      </w:r>
    </w:p>
    <w:bookmarkEnd w:id="68"/>
    <w:bookmarkStart w:id="69" w:name="Xf4a226a153edc0965902478b276d10014e27a06"/>
    <w:p>
      <w:pPr>
        <w:pStyle w:val="Heading2"/>
      </w:pPr>
      <w:r>
        <w:t xml:space="preserve">Appendix A: Theoretical Background (one-paragraph summary for reviewers)</w:t>
      </w:r>
    </w:p>
    <w:p>
      <w:pPr>
        <w:pStyle w:val="FirstParagraph"/>
      </w:pPr>
      <w:r>
        <w:t xml:space="preserve">The active-inference framework defines an optimal policy as the minimizer of expected free energy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over actions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cue counts</w:t>
      </w:r>
      <w:r>
        <w:t xml:space="preserve"> </w:t>
      </w:r>
      <m:oMath>
        <m:r>
          <m:t>k</m:t>
        </m:r>
      </m:oMath>
      <w:r>
        <w:t xml:space="preserve">. Under meta-uncertainty — uncertainty over the precision of one’s own prior, formalized as a Gamma prior on the inverse-variance scalar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— the marginal benefit of an additional cue decomposes into a positive epistemic gain about the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positive meta-cost driven by sharpening of the meta-precision posterior (Lemma 2.4.1). In the high-meta-uncertainty regime</w:t>
      </w:r>
      <w:r>
        <w:t xml:space="preserve"> </w:t>
      </w:r>
      <m:oMath>
        <m:sSubSup>
          <m:e>
            <m:r>
              <m:t>σ</m:t>
            </m:r>
          </m:e>
          <m:sub>
            <m:r>
              <m:t>τ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sub>
        </m:sSub>
      </m:oMath>
      <w:r>
        <w:t xml:space="preserve">, the meta-cost eventually dominates and additional cues increase expected free energy (Theorem 2.6.1). This predicts a U-shaped accuracy-versus-CoT-length relationship for tasks satisfying meta-uncertainty, in contradiction to the prevailing</w:t>
      </w:r>
      <w:r>
        <w:t xml:space="preserve"> </w:t>
      </w:r>
      <w:r>
        <w:t xml:space="preserve">“more reasoning = better”</w:t>
      </w:r>
      <w:r>
        <w:t xml:space="preserve"> </w:t>
      </w:r>
      <w:r>
        <w:t xml:space="preserve">narrative for LLM reasoning systems. The present study tests the prediction directly.</w:t>
      </w:r>
    </w:p>
    <w:bookmarkEnd w:id="69"/>
    <w:bookmarkStart w:id="70" w:name="X4292b61bfd6d0125cb75bf6040ab88bde9a4255"/>
    <w:p>
      <w:pPr>
        <w:pStyle w:val="Heading2"/>
      </w:pPr>
      <w:r>
        <w:t xml:space="preserve">Appendix B: AsPredicted-Format Summary (alternative submission)</w:t>
      </w:r>
    </w:p>
    <w:p>
      <w:pPr>
        <w:pStyle w:val="FirstParagraph"/>
      </w:pPr>
      <w:r>
        <w:t xml:space="preserve">For users preferring AsPredicted.org’s 9-question format: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Have any data been collected for this study already?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What’s the main question being asked?</w:t>
      </w:r>
      <w:r>
        <w:t xml:space="preserve"> </w:t>
      </w:r>
      <w:r>
        <w:t xml:space="preserve">Does additional CoT reasoning degrade LLM accuracy on high-meta-uncertainty items, as predicted by the meta-precision cue-truncation theorem?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Describe the key dependent variable(s) specifying how they will be measured.</w:t>
      </w:r>
      <w:r>
        <w:t xml:space="preserve"> </w:t>
      </w:r>
      <w:r>
        <w:t xml:space="preserve">Binary accuracy of LLM answer against gold standard (or expert-rated coherence for Knightian items). Step count = sentence count in CoT trace meeting the pre-specified inferential criterion.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many and which conditions will participants be assigned to?</w:t>
      </w:r>
      <w:r>
        <w:t xml:space="preserve"> </w:t>
      </w:r>
      <w:r>
        <w:t xml:space="preserve">5 length-graded CoT conditions × 5 LLMs × 79 items × 3 replications.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Specify exactly which analyses you will conduct.</w:t>
      </w:r>
      <w:r>
        <w:t xml:space="preserve"> </w:t>
      </w:r>
      <w:r>
        <w:t xml:space="preserve">Hierarchical Bayesian logistic regression with steps × regime interaction (eq. 6.1 of the full pre-registration). Posterior probability of the directional interaction.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Describe exactly how outliers will be defined and handled.</w:t>
      </w:r>
      <w:r>
        <w:t xml:space="preserve"> </w:t>
      </w:r>
      <w:r>
        <w:t xml:space="preserve">No outlier exclusion. Refused/malformed responses replaced by additional replications; items with &gt;50% refusal across cells dropped, reported.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will you determine sample size?</w:t>
      </w:r>
      <w:r>
        <w:t xml:space="preserve"> </w:t>
      </w:r>
      <w:r>
        <w:t xml:space="preserve">Pre-specified: 5,925 observations total; ~3,000 in primary analysis. Power 0.92 at α=0.05 for d=0.3 effect.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Anything else you would like to pre-register?</w:t>
      </w:r>
      <w:r>
        <w:t xml:space="preserve"> </w:t>
      </w:r>
      <w:r>
        <w:t xml:space="preserve">Three confound controls (prompt sensitivity, aleatory, calibration baselines), all reported regardless of primary result. Five robustness checks. Falsification criteria explicit.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Manuscript ID / Project name:</w:t>
      </w:r>
      <w:r>
        <w:t xml:space="preserve"> </w:t>
      </w:r>
      <w:r>
        <w:t xml:space="preserve">FEH-2026 — Free Energy Heuristics: Empirical Test of the Cue-Truncation Theorem.</w:t>
      </w:r>
    </w:p>
    <w:bookmarkEnd w:id="70"/>
    <w:bookmarkStart w:id="74" w:name="Xee67c8f711c21dcf7976888a4aa0fef2e9f15e7"/>
    <w:p>
      <w:pPr>
        <w:pStyle w:val="Heading2"/>
      </w:pPr>
      <w:r>
        <w:t xml:space="preserve">Appendix C: Pre-Registration Status (2026-05-14)</w:t>
      </w:r>
    </w:p>
    <w:bookmarkStart w:id="71" w:name="resolved-before-submission"/>
    <w:p>
      <w:pPr>
        <w:pStyle w:val="Heading3"/>
      </w:pPr>
      <w:r>
        <w:t xml:space="preserve">Resolved before submission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 / affiliation:</w:t>
      </w:r>
      <w:r>
        <w:t xml:space="preserve"> </w:t>
      </w:r>
      <w:r>
        <w:t xml:space="preserve">Alex Bogdan, EvolutionAIry AI Inc. (Toronto, Canada). Sole investigator on this study.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Item pool:</w:t>
      </w:r>
      <w:r>
        <w:t xml:space="preserve"> </w:t>
      </w:r>
      <w:r>
        <w:t xml:space="preserve">Finalized as</w:t>
      </w:r>
      <w:r>
        <w:t xml:space="preserve"> </w:t>
      </w:r>
      <w:r>
        <w:rPr>
          <w:b/>
          <w:bCs/>
        </w:rPr>
        <w:t xml:space="preserve">FEH-79 pool v0.3</w:t>
      </w:r>
      <w:r>
        <w:t xml:space="preserve"> </w:t>
      </w:r>
      <w:r>
        <w:t xml:space="preserve">(</w:t>
      </w:r>
      <w:r>
        <w:rPr>
          <w:rStyle w:val="VerbatimChar"/>
        </w:rPr>
        <w:t xml:space="preserve">feh79_item_pool_v0.3.yaml</w:t>
      </w:r>
      <w:r>
        <w:t xml:space="preserve">), 141 total items: 79 Knightian (K1×20 non-recurrent forecasting + K2×20 novel-synthetic + K3×20 open-ended dilemma + K4×19 strategic uncertainty) + 50 controls (R×10 reference + A×10 aleatory + CB×30 calibration probe) + 12 R-arithmetic-calibration items (R-101..R-112; 4 difficulty bands × 3 items, added 2026-05-14 per §4.9.4 pilot finding; reported separately as a per-model competence curve,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enter the H1 confirmatory test). Pool validated by K2 cross-model multi-seed pre-screen (4-provider × 5-seed; 36/36 categorical Knightian items pass) and K3 google-floor check (15 K3-pass-clean + 4 K3-pass-marginal + 0 K3-fail-contaminated; one item — K2-015 — flagged contamination_risk medium per pool-metadata note). Validation records:</w:t>
      </w:r>
      <w:r>
        <w:t xml:space="preserve"> </w:t>
      </w:r>
      <w:r>
        <w:rPr>
          <w:rStyle w:val="VerbatimChar"/>
        </w:rPr>
        <w:t xml:space="preserve">Experiments/cross_model_results_v0.3_validation.json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Experiments/k3_floor_results_v0.3.json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Hardware environment:</w:t>
      </w:r>
      <w:r>
        <w:t xml:space="preserve"> </w:t>
      </w:r>
      <w:r>
        <w:t xml:space="preserve">Pilot and full study run on a single workstation: NVIDIA RTX 4070 Super (12 GB VRAM), Windows 11 Home, CUDA 12.x, Ollama runtime (Mistral-7B-Instruct quantized to Q4_K_M for the pilot; full-run model panel served via Ollama or vLLM as documented per-model in the released config).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Bibliography:</w:t>
      </w:r>
      <w:r>
        <w:t xml:space="preserve"> </w:t>
      </w:r>
      <w:r>
        <w:t xml:space="preserve">Consolidated to</w:t>
      </w:r>
      <w:r>
        <w:t xml:space="preserve"> </w:t>
      </w:r>
      <w:r>
        <w:rPr>
          <w:rStyle w:val="VerbatimChar"/>
        </w:rPr>
        <w:t xml:space="preserve">bibliography.md</w:t>
      </w:r>
      <w:r>
        <w:t xml:space="preserve"> </w:t>
      </w:r>
      <w:r>
        <w:t xml:space="preserve">covering §§1–4; ~38 entries, author-year style.</w:t>
      </w:r>
    </w:p>
    <w:bookmarkEnd w:id="71"/>
    <w:bookmarkStart w:id="72" w:name="X4331b5192fd6418bb6f21ebfb60ce984ca9dc64"/>
    <w:p>
      <w:pPr>
        <w:pStyle w:val="Heading3"/>
      </w:pPr>
      <w:r>
        <w:t xml:space="preserve">To be inserted at submission time (do not block OSF upload)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Theoretical pre-print arXiv DOI</w:t>
      </w:r>
      <w:r>
        <w:t xml:space="preserve"> </w:t>
      </w:r>
      <w:r>
        <w:t xml:space="preserve">— Chapter 2 not yet posted to arXiv. The pre-registration may reference this study without the DOI; the DOI will be inserted into the header upon arXiv posting (anticipated before full-run start).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 repository URL</w:t>
      </w:r>
      <w:r>
        <w:t xml:space="preserve"> </w:t>
      </w:r>
      <w:r>
        <w:t xml:space="preserve">— Repository to be created at first commit of the data-collection code. The pre-registration commits to MIT-licensed release at manuscript submission with immutable git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(per §10.1).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OSF project URL</w:t>
      </w:r>
      <w:r>
        <w:t xml:space="preserve"> </w:t>
      </w:r>
      <w:r>
        <w:t xml:space="preserve">— Auto-generated by OSF at submission time and self-referential.</w:t>
      </w:r>
    </w:p>
    <w:bookmarkEnd w:id="72"/>
    <w:bookmarkStart w:id="73" w:name="Xde422ac43c843d746f8f02f30b2d1fd742a21c8"/>
    <w:p>
      <w:pPr>
        <w:pStyle w:val="Heading3"/>
      </w:pPr>
      <w:r>
        <w:t xml:space="preserve">To be completed during the pilot (per §4.9.2 P2, not before submission)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Step-counting pipeline κ-validation (heuristic vs LLM-judge)</w:t>
      </w:r>
      <w:r>
        <w:t xml:space="preserve"> </w:t>
      </w:r>
      <w:r>
        <w:t xml:space="preserve">— ✅</w:t>
      </w:r>
      <w:r>
        <w:t xml:space="preserve"> </w:t>
      </w:r>
      <w:r>
        <w:rPr>
          <w:b/>
          <w:bCs/>
        </w:rPr>
        <w:t xml:space="preserve">completed 2026-05-14.</w:t>
      </w:r>
      <w:r>
        <w:t xml:space="preserve"> </w:t>
      </w:r>
      <w:r>
        <w:t xml:space="preserve">The §4.9 pilot generated 150 responses (Mistral-7B × 10 frames × 5 conditions × 3 replications). The fast heuristic step-counter (Pass-1 baseline of</w:t>
      </w:r>
      <w:r>
        <w:t xml:space="preserve"> </w:t>
      </w:r>
      <w:r>
        <w:rPr>
          <w:rStyle w:val="VerbatimChar"/>
        </w:rPr>
        <w:t xml:space="preserve">step_counter.py</w:t>
      </w:r>
      <w:r>
        <w:t xml:space="preserve">) was validated against the LLM-judge (Pass-2 primary; Claude</w:t>
      </w:r>
      <w:r>
        <w:t xml:space="preserve"> </w:t>
      </w:r>
      <w:r>
        <w:rPr>
          <w:rStyle w:val="VerbatimChar"/>
        </w:rPr>
        <w:t xml:space="preserve">claude-sonnet-4-5-20250929</w:t>
      </w:r>
      <w:r>
        <w:t xml:space="preserve">) on a 539-sentence stratified subsample drawn from the rep=1 cells of the pilot. Result:</w:t>
      </w:r>
      <w:r>
        <w:t xml:space="preserve"> </w:t>
      </w:r>
      <w:r>
        <w:rPr>
          <w:b/>
          <w:bCs/>
        </w:rPr>
        <w:t xml:space="preserve">Cohen’s κ = +0.802</w:t>
      </w:r>
      <w:r>
        <w:t xml:space="preserve"> </w:t>
      </w:r>
      <w:r>
        <w:t xml:space="preserve">vs threshold 0.70 (raw agreement 91.5%; n = 539; 0 judging errors). Per-condition κ ranges 0.61–0.92 for C2–C5; C1 has only 10 sentences and is uninformative. See</w:t>
      </w:r>
      <w:r>
        <w:t xml:space="preserve"> </w:t>
      </w:r>
      <w:r>
        <w:rPr>
          <w:rStyle w:val="VerbatimChar"/>
        </w:rPr>
        <w:t xml:space="preserve">Experiments/step_counter_kappa.py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Experiments/kappa_validation.{json,md}</w:t>
      </w:r>
      <w:r>
        <w:t xml:space="preserve">. The heuristic is now validated as the Pass-1 step-counter for the full study; the LLM-judge remains the §4.8.2 primary measurement on a per-cell sub-sample.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Human-coded step-counter validation</w:t>
      </w:r>
      <w:r>
        <w:t xml:space="preserve"> </w:t>
      </w:r>
      <w:r>
        <w:t xml:space="preserve">— Planned for §4.10 Phase 5 (annotation rubric validation). 100-response subsample (20 per condition), 2 trained annotators, threshold κ ≥ 0.7 against the LLM-judge. Not a precondition for full data collection (the heuristic-vs-LLM-judge κ above is the operational gate).</w:t>
      </w:r>
    </w:p>
    <w:bookmarkEnd w:id="73"/>
    <w:bookmarkEnd w:id="74"/>
    <w:bookmarkEnd w:id="75"/>
    <w:sectPr w:rsidR="001D5E3B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4EC5" w14:textId="77777777" w:rsidR="00BD2BF4" w:rsidRDefault="009D6DB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2748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2748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42C5" w14:textId="77777777" w:rsidR="00BD2BF4" w:rsidRDefault="009D6DB9">
    <w:pPr>
      <w:jc w:val="right"/>
    </w:pPr>
    <w:r>
      <w:rPr>
        <w:i/>
        <w:iCs/>
        <w:color w:val="888888"/>
        <w:sz w:val="18"/>
        <w:szCs w:val="18"/>
      </w:rPr>
      <w:t>FEH — Theoretical Foundation — Draft v0.3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18E549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C4237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67E46DA8"/>
    <w:multiLevelType w:val="hybridMultilevel"/>
    <w:tmpl w:val="2C8EC334"/>
    <w:lvl w:ilvl="0" w:tplc="49907154">
      <w:start w:val="1"/>
      <w:numFmt w:val="bullet"/>
      <w:lvlText w:val="●"/>
      <w:lvlJc w:val="left"/>
      <w:pPr>
        <w:ind w:hanging="360" w:left="720"/>
      </w:pPr>
    </w:lvl>
    <w:lvl w:ilvl="1" w:tplc="0DDC1846">
      <w:start w:val="1"/>
      <w:numFmt w:val="bullet"/>
      <w:lvlText w:val="○"/>
      <w:lvlJc w:val="left"/>
      <w:pPr>
        <w:ind w:hanging="360" w:left="1440"/>
      </w:pPr>
    </w:lvl>
    <w:lvl w:ilvl="2" w:tplc="76FAE582">
      <w:start w:val="1"/>
      <w:numFmt w:val="bullet"/>
      <w:lvlText w:val="■"/>
      <w:lvlJc w:val="left"/>
      <w:pPr>
        <w:ind w:hanging="360" w:left="2160"/>
      </w:pPr>
    </w:lvl>
    <w:lvl w:ilvl="3" w:tplc="3802290E">
      <w:start w:val="1"/>
      <w:numFmt w:val="bullet"/>
      <w:lvlText w:val="●"/>
      <w:lvlJc w:val="left"/>
      <w:pPr>
        <w:ind w:hanging="360" w:left="2880"/>
      </w:pPr>
    </w:lvl>
    <w:lvl w:ilvl="4" w:tplc="6CC2CD62">
      <w:start w:val="1"/>
      <w:numFmt w:val="bullet"/>
      <w:lvlText w:val="○"/>
      <w:lvlJc w:val="left"/>
      <w:pPr>
        <w:ind w:hanging="360" w:left="3600"/>
      </w:pPr>
    </w:lvl>
    <w:lvl w:ilvl="5" w:tplc="DEA850CA">
      <w:start w:val="1"/>
      <w:numFmt w:val="bullet"/>
      <w:lvlText w:val="■"/>
      <w:lvlJc w:val="left"/>
      <w:pPr>
        <w:ind w:hanging="360" w:left="4320"/>
      </w:pPr>
    </w:lvl>
    <w:lvl w:ilvl="6" w:tplc="DA14DBAA">
      <w:start w:val="1"/>
      <w:numFmt w:val="bullet"/>
      <w:lvlText w:val="●"/>
      <w:lvlJc w:val="left"/>
      <w:pPr>
        <w:ind w:hanging="360" w:left="5040"/>
      </w:pPr>
    </w:lvl>
    <w:lvl w:ilvl="7" w:tplc="B0AEAD46">
      <w:start w:val="1"/>
      <w:numFmt w:val="bullet"/>
      <w:lvlText w:val="●"/>
      <w:lvlJc w:val="left"/>
      <w:pPr>
        <w:ind w:hanging="360" w:left="5760"/>
      </w:pPr>
    </w:lvl>
    <w:lvl w:ilvl="8" w:tplc="FDF89E8A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16cid:durableId="297805145" w:numId="1">
    <w:abstractNumId w:val="2"/>
    <w:lvlOverride w:ilvl="0">
      <w:startOverride w:val="1"/>
    </w:lvlOverride>
  </w:num>
  <w:num w16cid:durableId="797064641" w:numId="2">
    <w:abstractNumId w:val="0"/>
  </w:num>
  <w:num w16cid:durableId="2054452401" w:numId="3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BF4"/>
    <w:rsid w:val="00022AC0"/>
    <w:rsid w:val="000E6250"/>
    <w:rsid w:val="001D5E3B"/>
    <w:rsid w:val="00221E66"/>
    <w:rsid w:val="0024514F"/>
    <w:rsid w:val="00246ECE"/>
    <w:rsid w:val="0026152C"/>
    <w:rsid w:val="002627D3"/>
    <w:rsid w:val="0031487F"/>
    <w:rsid w:val="003612AF"/>
    <w:rsid w:val="00431BAB"/>
    <w:rsid w:val="004627F2"/>
    <w:rsid w:val="00603017"/>
    <w:rsid w:val="006529FA"/>
    <w:rsid w:val="00777D6C"/>
    <w:rsid w:val="007D5C92"/>
    <w:rsid w:val="00827483"/>
    <w:rsid w:val="008C5BE1"/>
    <w:rsid w:val="00926775"/>
    <w:rsid w:val="00996731"/>
    <w:rsid w:val="009D09C6"/>
    <w:rsid w:val="009D6DB9"/>
    <w:rsid w:val="00A21DD8"/>
    <w:rsid w:val="00A366F1"/>
    <w:rsid w:val="00A67FF8"/>
    <w:rsid w:val="00AB605E"/>
    <w:rsid w:val="00AE5C8B"/>
    <w:rsid w:val="00B61CF6"/>
    <w:rsid w:val="00BD2BF4"/>
    <w:rsid w:val="00C868C6"/>
    <w:rsid w:val="00CA5FCF"/>
    <w:rsid w:val="00CC1220"/>
    <w:rsid w:val="00CD1211"/>
    <w:rsid w:val="00CF12B4"/>
    <w:rsid w:val="00E0416C"/>
    <w:rsid w:val="00E367FE"/>
    <w:rsid w:val="00E9323A"/>
    <w:rsid w:val="00F27D38"/>
    <w:rsid w:val="00F41F41"/>
    <w:rsid w:val="00F65C12"/>
    <w:rsid w:val="00FE03A3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CA" w:val="en-CA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spacing w:after="200" w:before="360"/>
      <w:outlineLvl w:val="0"/>
    </w:pPr>
    <w:rPr>
      <w:b/>
      <w:bCs/>
      <w:color w:val="1F4E79"/>
      <w:sz w:val="32"/>
      <w:szCs w:val="32"/>
    </w:rPr>
  </w:style>
  <w:style w:styleId="Heading2" w:type="paragraph">
    <w:name w:val="heading 2"/>
    <w:uiPriority w:val="9"/>
    <w:unhideWhenUsed/>
    <w:qFormat/>
    <w:pPr>
      <w:spacing w:after="160" w:before="280"/>
      <w:outlineLvl w:val="1"/>
    </w:pPr>
    <w:rPr>
      <w:b/>
      <w:bCs/>
      <w:color w:val="2E75B6"/>
      <w:sz w:val="28"/>
      <w:szCs w:val="28"/>
    </w:rPr>
  </w:style>
  <w:style w:styleId="Heading3" w:type="paragraph">
    <w:name w:val="heading 3"/>
    <w:uiPriority w:val="9"/>
    <w:unhideWhenUsed/>
    <w:qFormat/>
    <w:pPr>
      <w:spacing w:after="120" w:before="200"/>
      <w:outlineLvl w:val="2"/>
    </w:pPr>
    <w:rPr>
      <w:b/>
      <w:bCs/>
      <w:i/>
      <w:iCs/>
      <w:color w:val="404040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PlaceholderText" w:type="character">
    <w:name w:val="Placeholder Text"/>
    <w:basedOn w:val="DefaultParagraphFont"/>
    <w:uiPriority w:val="99"/>
    <w:semiHidden/>
    <w:rsid w:val="0031487F"/>
    <w:rPr>
      <w:color w:val="666666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8167</Words>
  <Characters>48431</Characters>
  <Application>Microsoft Office Word</Application>
  <DocSecurity>0</DocSecurity>
  <Lines>722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Energy Heuristics — Theoretical Foundation Draft v0.3</vt:lpstr>
    </vt:vector>
  </TitlesOfParts>
  <Company/>
  <LinksUpToDate>false</LinksUpToDate>
  <CharactersWithSpaces>56321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2026-05-14T12:18:36Z</dcterms:created>
  <dcterms:modified xsi:type="dcterms:W3CDTF">2026-05-14T12:18:36Z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