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c08ed7b7c638cda0181aad0afb32cd21d6c5b60"/>
    <w:p>
      <w:pPr>
        <w:pStyle w:val="Heading1"/>
      </w:pPr>
      <w:r>
        <w:t xml:space="preserve">Pre-Registration: Free Energy Heuristics Full Empirical Study</w:t>
      </w:r>
    </w:p>
    <w:p>
      <w:pPr>
        <w:pStyle w:val="FirstParagraph"/>
      </w:pPr>
      <w:r>
        <w:rPr>
          <w:b/>
          <w:bCs/>
        </w:rPr>
        <w:t xml:space="preserve">Working title:</w:t>
      </w:r>
      <w:r>
        <w:t xml:space="preserve"> </w:t>
      </w:r>
      <w:r>
        <w:t xml:space="preserve">Chain-of-Thought Reasoning Degrades LLM Accuracy Under Knightian Uncertainty: A Confirmatory Test of the Meta-Precision Cue-Truncation Theorem</w:t>
      </w:r>
    </w:p>
    <w:p>
      <w:pPr>
        <w:pStyle w:val="BodyText"/>
      </w:pPr>
      <w:r>
        <w:rPr>
          <w:b/>
          <w:bCs/>
        </w:rPr>
        <w:t xml:space="preserve">Principal investigator:</w:t>
      </w:r>
      <w:r>
        <w:t xml:space="preserve"> </w:t>
      </w:r>
      <w:r>
        <w:t xml:space="preserve">Alex Bogdan (EvolutionAIry AI Inc., Toronto, Canada). Affiliation independent.</w:t>
      </w:r>
    </w:p>
    <w:p>
      <w:pPr>
        <w:pStyle w:val="BodyText"/>
      </w:pPr>
      <w:r>
        <w:rPr>
          <w:b/>
          <w:bCs/>
        </w:rPr>
        <w:t xml:space="preserve">Theoretical pre-print:</w:t>
      </w:r>
      <w:r>
        <w:t xml:space="preserve"> </w:t>
      </w:r>
      <w:r>
        <w:t xml:space="preserve">Chapter 2 (FEH Theoretical Foundation, Working Draft v0.7) and Chapter 3 (FEH Operationalization, Working Draft v0.1) — to be posted to arXiv prior to data collection and cited by DOI in this pre-registration.</w:t>
      </w:r>
    </w:p>
    <w:p>
      <w:pPr>
        <w:pStyle w:val="BodyText"/>
      </w:pPr>
      <w:r>
        <w:rPr>
          <w:b/>
          <w:bCs/>
        </w:rPr>
        <w:t xml:space="preserve">Pre-registration platform:</w:t>
      </w:r>
      <w:r>
        <w:t xml:space="preserve"> </w:t>
      </w:r>
      <w:r>
        <w:t xml:space="preserve">OSF Pre-registration (https://osf.io/prereg). AsPredicted format included as Appendix B for users who prefer the lighter-weight registry.</w:t>
      </w:r>
    </w:p>
    <w:p>
      <w:pPr>
        <w:pStyle w:val="BodyText"/>
      </w:pPr>
      <w:r>
        <w:rPr>
          <w:b/>
          <w:bCs/>
        </w:rPr>
        <w:t xml:space="preserve">Submission status:</w:t>
      </w:r>
      <w:r>
        <w:t xml:space="preserve"> </w:t>
      </w:r>
      <w:r>
        <w:t xml:space="preserve">v0.3 working copy (2026-05-29), incorporating</w:t>
      </w:r>
      <w:r>
        <w:t xml:space="preserve"> </w:t>
      </w:r>
      <w:r>
        <w:rPr>
          <w:b/>
          <w:bCs/>
        </w:rPr>
        <w:t xml:space="preserve">Amendment 1</w:t>
      </w:r>
      <w:r>
        <w:t xml:space="preserve"> </w:t>
      </w:r>
      <w:r>
        <w:t xml:space="preserve">into the registered v0.2 (OSF 2026-05-14, osf.io/9dvzb). Item pool finalized at FEH-79 v0.3 (K2-validated, K3-validated). Hardware environment documented. Outstanding placeholders limited to arXiv DOI + GitHub URL.</w:t>
      </w:r>
    </w:p>
    <w:p>
      <w:pPr>
        <w:pStyle w:val="BlockText"/>
      </w:pPr>
      <w:r>
        <w:rPr>
          <w:b/>
          <w:bCs/>
        </w:rPr>
        <w:t xml:space="preserve">Changelog — Amendment 1 (2026-05-29, pre-data; permitted under §9.1).</w:t>
      </w:r>
      <w:r>
        <w:t xml:space="preserve"> </w:t>
      </w:r>
      <w:r>
        <w:t xml:space="preserve">Following implementation and simulation-based validation of the eq. 6.1 pipeline (before any confirmatory data collection), the primary inference statistic (§6.2), confirmation/falsification criteria (§7.1–7.2), primary hypothesis statement (§2.1), and power analysis (§4.1) were revised, and robustness check R6 was added (§6.4). The full-reversal requirement |β3|&gt;|β1| is demoted from a gating criterion to a reported effect size; the primary test becomes directional (Pr(β3&lt;0)&gt;0.95) with a robust magnitude floor. Rationale and evidence:</w:t>
      </w:r>
      <w:r>
        <w:t xml:space="preserve"> </w:t>
      </w:r>
      <w:r>
        <w:rPr>
          <w:rStyle w:val="VerbatimChar"/>
        </w:rPr>
        <w:t xml:space="preserve">Preregistration_amendment_1_2026-05-29.md</w:t>
      </w:r>
      <w:r>
        <w:t xml:space="preserve"> </w:t>
      </w:r>
      <w:r>
        <w:t xml:space="preserve">and the simulation reports (</w:t>
      </w:r>
      <w:r>
        <w:rPr>
          <w:rStyle w:val="VerbatimChar"/>
        </w:rPr>
        <w:t xml:space="preserve">analysis_validation.md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power_curve.md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design_sweep.md</w:t>
      </w:r>
      <w:r>
        <w:t xml:space="preserve">). The registered v0.2 remains the immutable record; this v0.3 is the consolidated working copy used by the manuscript. Amended passages below are tagged</w:t>
      </w:r>
      <w:r>
        <w:t xml:space="preserve"> </w:t>
      </w:r>
      <w:r>
        <w:rPr>
          <w:b/>
          <w:bCs/>
        </w:rPr>
        <w:t xml:space="preserve">[AMENDED v0.3]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study-information"/>
    <w:p>
      <w:pPr>
        <w:pStyle w:val="Heading2"/>
      </w:pPr>
      <w:r>
        <w:t xml:space="preserve">1. Study Information</w:t>
      </w:r>
    </w:p>
    <w:bookmarkStart w:id="17" w:name="background"/>
    <w:p>
      <w:pPr>
        <w:pStyle w:val="Heading3"/>
      </w:pPr>
      <w:r>
        <w:t xml:space="preserve">1.1 Background</w:t>
      </w:r>
    </w:p>
    <w:p>
      <w:pPr>
        <w:pStyle w:val="FirstParagraph"/>
      </w:pPr>
      <w:r>
        <w:t xml:space="preserve">The active-inference framework (Friston and colleagues) and the ecological-rationality framework (Gigerenzer and the ABC research group) make apparently incompatible predictions about when additional inference helps versus hurts decision quality. Chapter 2 of the accompanying theoretical pre-print derives a unification: under meta-uncertainty over prior precision (σ²_τ ≥ τ_regime), expected free energy is U-shaped in cue count k, and additional reasoning steps past the optimal truncation k* strictly increase expected free energy (Theorem 2.6.1).</w:t>
      </w:r>
    </w:p>
    <w:p>
      <w:pPr>
        <w:pStyle w:val="BodyText"/>
      </w:pPr>
      <w:r>
        <w:t xml:space="preserve">The framework predicts a specific, novel, falsifiable failure mode of contemporary LLM reasoning systems: under tasks satisfying meta-uncertainty (Knightian conditions, not aleatory risk or simple ambiguity), additional chain-of-thought (CoT) reasoning steps should</w:t>
      </w:r>
      <w:r>
        <w:t xml:space="preserve"> </w:t>
      </w:r>
      <w:r>
        <w:rPr>
          <w:i/>
          <w:iCs/>
        </w:rPr>
        <w:t xml:space="preserve">decrease</w:t>
      </w:r>
      <w:r>
        <w:t xml:space="preserve"> </w:t>
      </w:r>
      <w:r>
        <w:t xml:space="preserve">accuracy. This prediction directly contradicts the prevailing</w:t>
      </w:r>
      <w:r>
        <w:t xml:space="preserve"> </w:t>
      </w:r>
      <w:r>
        <w:t xml:space="preserve">“more reasoning = better”</w:t>
      </w:r>
      <w:r>
        <w:t xml:space="preserve"> </w:t>
      </w:r>
      <w:r>
        <w:t xml:space="preserve">narrative around o1/o3-style reasoning models. The present study is the confirmatory test.</w:t>
      </w:r>
    </w:p>
    <w:bookmarkEnd w:id="17"/>
    <w:bookmarkStart w:id="18" w:name="research-question"/>
    <w:p>
      <w:pPr>
        <w:pStyle w:val="Heading3"/>
      </w:pPr>
      <w:r>
        <w:t xml:space="preserve">1.2 Research question</w:t>
      </w:r>
    </w:p>
    <w:p>
      <w:pPr>
        <w:pStyle w:val="FirstParagraph"/>
      </w:pPr>
      <w:r>
        <w:t xml:space="preserve">Does additional CoT reasoning degrade LLM accuracy on high-meta-uncertainty items (as predicted by the cue-truncation theorem), and does this effect interact with the regime score (a behavioral proxy for σ²_τ) in the direction predicted by theory?</w:t>
      </w:r>
    </w:p>
    <w:bookmarkEnd w:id="18"/>
    <w:bookmarkStart w:id="19" w:name="headline-claim"/>
    <w:p>
      <w:pPr>
        <w:pStyle w:val="Heading3"/>
      </w:pPr>
      <w:r>
        <w:t xml:space="preserve">1.3 Headline claim</w:t>
      </w:r>
    </w:p>
    <w:p>
      <w:pPr>
        <w:pStyle w:val="FirstParagraph"/>
      </w:pPr>
      <w:r>
        <w:t xml:space="preserve">Within items in the top quartile of the regime score (high meta-uncertainty proxy), accuracy as a function of CoT step count should be</w:t>
      </w:r>
      <w:r>
        <w:t xml:space="preserve"> </w:t>
      </w:r>
      <w:r>
        <w:rPr>
          <w:i/>
          <w:iCs/>
        </w:rPr>
        <w:t xml:space="preserve">decreasing</w:t>
      </w:r>
      <w:r>
        <w:t xml:space="preserve">. Within items in the bottom quartile, it should be</w:t>
      </w:r>
      <w:r>
        <w:t xml:space="preserve"> </w:t>
      </w:r>
      <w:r>
        <w:rPr>
          <w:i/>
          <w:iCs/>
        </w:rPr>
        <w:t xml:space="preserve">non-decreasing</w:t>
      </w:r>
      <w:r>
        <w:t xml:space="preserve">. The cross-quartile interaction is the primary test.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hypotheses"/>
    <w:p>
      <w:pPr>
        <w:pStyle w:val="Heading2"/>
      </w:pPr>
      <w:r>
        <w:t xml:space="preserve">2. Hypotheses</w:t>
      </w:r>
    </w:p>
    <w:bookmarkStart w:id="21" w:name="primary-hypothesis-confirmatory"/>
    <w:p>
      <w:pPr>
        <w:pStyle w:val="Heading3"/>
      </w:pPr>
      <w:r>
        <w:t xml:space="preserve">2.1 Primary hypothesis (confirmatory)</w:t>
      </w:r>
    </w:p>
    <w:p>
      <w:pPr>
        <w:pStyle w:val="FirstParagraph"/>
      </w:pPr>
      <w:r>
        <w:rPr>
          <w:b/>
          <w:bCs/>
        </w:rPr>
        <w:t xml:space="preserve">H1 [AMENDED v0.3]</w:t>
      </w:r>
      <w:r>
        <w:t xml:space="preserve">: The interaction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analysis model (Section 6, eq. 6.1) is negative by a substantively non-trivial amount: increasing the number of CoT reasoning steps degrades accuracy in the high-regime (high-meta-uncertainty) bin relative to the low-regime bin.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t>0</m:t>
          </m:r>
          <m:r>
            <m:t> </m:t>
          </m:r>
          <m:r>
            <m:rPr>
              <m:nor/>
              <m:sty m:val="p"/>
            </m:rPr>
            <m:t>(directional)</m:t>
          </m:r>
          <m:r>
            <m:t> </m:t>
          </m:r>
          <m:r>
            <m:rPr>
              <m:nor/>
              <m:sty m:val="p"/>
            </m:rPr>
            <m:t>with substantive magnitude (see §6.2)</m:t>
          </m:r>
        </m:oMath>
      </m:oMathPara>
    </w:p>
    <w:p>
      <w:pPr>
        <w:pStyle w:val="FirstParagraph"/>
      </w:pPr>
      <w:r>
        <w:t xml:space="preserve">The stronger</w:t>
      </w:r>
      <w:r>
        <w:t xml:space="preserve"> </w:t>
      </w:r>
      <w:r>
        <w:rPr>
          <w:i/>
          <w:iCs/>
        </w:rPr>
        <w:t xml:space="preserve">full sign-reversal</w:t>
      </w:r>
      <w:r>
        <w:t xml:space="preserve"> </w:t>
      </w:r>
      <w:r>
        <w:t xml:space="preserve">condition of the original v0.2 statement —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  <m:r>
          <m:t> </m:t>
        </m:r>
        <m:r>
          <m:rPr>
            <m:nor/>
            <m:sty m:val="p"/>
          </m:rPr>
          <m:t>AND</m:t>
        </m:r>
        <m:r>
          <m:t> 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equivalently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— is</w:t>
      </w:r>
      <w:r>
        <w:t xml:space="preserve"> </w:t>
      </w:r>
      <w:r>
        <w:rPr>
          <w:b/>
          <w:bCs/>
        </w:rPr>
        <w:t xml:space="preserve">retained as a reported effect size and secondary descriptive claim</w:t>
      </w:r>
      <w:r>
        <w:t xml:space="preserve">, not as a confirmatory gate.</w:t>
      </w:r>
      <w:r>
        <w:t xml:space="preserve"> </w:t>
      </w:r>
      <w:r>
        <w:rPr>
          <w:i/>
          <w:iCs/>
        </w:rPr>
        <w:t xml:space="preserve">(Reason: simulation showed the full-reversal gate has ~7% power because</w:t>
      </w:r>
      <w:r>
        <w:rPr>
          <w:i/>
          <w:i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collinear; the directional claim with a magnitude floor recovers power to ~0.90 at a large effect while holding Type I at 0 — see §4.1 and the amendment document.)</w:t>
      </w:r>
    </w:p>
    <w:bookmarkEnd w:id="21"/>
    <w:bookmarkStart w:id="22" w:name="secondary-hypotheses-confirmatory"/>
    <w:p>
      <w:pPr>
        <w:pStyle w:val="Heading3"/>
      </w:pPr>
      <w:r>
        <w:t xml:space="preserve">2.2 Secondary hypotheses (confirmatory)</w:t>
      </w:r>
    </w:p>
    <w:p>
      <w:pPr>
        <w:pStyle w:val="FirstParagraph"/>
      </w:pPr>
      <w:r>
        <w:rPr>
          <w:b/>
          <w:bCs/>
        </w:rPr>
        <w:t xml:space="preserve">H2 (size-scaling)</w:t>
      </w:r>
      <w:r>
        <w:t xml:space="preserve">: The magnitude of the negative interaction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does not systematically decrease with model size. Theory predicts the effect is regime-driven, not capability-driven; a strong negative dependence on model size would falsify the framework’s scope claim.</w:t>
      </w:r>
    </w:p>
    <w:p>
      <w:pPr>
        <w:pStyle w:val="BodyText"/>
      </w:pPr>
      <w:r>
        <w:rPr>
          <w:b/>
          <w:bCs/>
        </w:rPr>
        <w:t xml:space="preserve">H3 (regime-validation)</w:t>
      </w:r>
      <w:r>
        <w:t xml:space="preserve">: Items independently classified as</w:t>
      </w:r>
      <w:r>
        <w:t xml:space="preserve"> </w:t>
      </w:r>
      <w:r>
        <w:t xml:space="preserve">“Knightian”</w:t>
      </w:r>
      <w:r>
        <w:t xml:space="preserve"> </w:t>
      </w:r>
      <w:r>
        <w:t xml:space="preserve">by the §3.6 procedure show higher regime scores than items classified as</w:t>
      </w:r>
      <w:r>
        <w:t xml:space="preserve"> </w:t>
      </w:r>
      <w:r>
        <w:t xml:space="preserve">“aleatory”</w:t>
      </w:r>
      <w:r>
        <w:t xml:space="preserve"> </w:t>
      </w:r>
      <w:r>
        <w:t xml:space="preserve">(ground-truth distribution known) or</w:t>
      </w:r>
      <w:r>
        <w:t xml:space="preserve"> </w:t>
      </w:r>
      <w:r>
        <w:t xml:space="preserve">“epistemic”</w:t>
      </w:r>
      <w:r>
        <w:t xml:space="preserve"> </w:t>
      </w:r>
      <w:r>
        <w:t xml:space="preserve">(ground-truth distribution unknown but resolvable). This validates the regime score as picking up meta-uncertainty rather than other uncertainty types.</w:t>
      </w:r>
    </w:p>
    <w:bookmarkEnd w:id="22"/>
    <w:bookmarkStart w:id="23" w:name="Xc4f419ac31eddc0ad77adf4e35caa7ed1450131"/>
    <w:p>
      <w:pPr>
        <w:pStyle w:val="Heading3"/>
      </w:pPr>
      <w:r>
        <w:t xml:space="preserve">2.3 Exploratory hypotheses (non-confirmatory, reported for transparency)</w:t>
      </w:r>
    </w:p>
    <w:p>
      <w:pPr>
        <w:pStyle w:val="Compact"/>
        <w:numPr>
          <w:ilvl w:val="0"/>
          <w:numId w:val="1001"/>
        </w:numPr>
      </w:pPr>
      <w:r>
        <w:t xml:space="preserve">E1: Negative interaction is detectable on reasoning models (o1, DeepSeek-R1, Qwen-QwQ) at API-accessible scales, replicating the open-weight finding.</w:t>
      </w:r>
    </w:p>
    <w:p>
      <w:pPr>
        <w:pStyle w:val="Compact"/>
        <w:numPr>
          <w:ilvl w:val="0"/>
          <w:numId w:val="1001"/>
        </w:numPr>
      </w:pPr>
      <w:r>
        <w:t xml:space="preserve">E2: Token-level analysis of where accuracy degrades within the CoT trace reveals a transition point matching the EFE-predicted k*.</w:t>
      </w:r>
    </w:p>
    <w:p>
      <w:pPr>
        <w:pStyle w:val="Compact"/>
        <w:numPr>
          <w:ilvl w:val="0"/>
          <w:numId w:val="1001"/>
        </w:numPr>
      </w:pPr>
      <w:r>
        <w:t xml:space="preserve">E3: The negative interaction generalizes to a separate held-out item set constructed independently of the regime-score pre-screen.</w:t>
      </w:r>
    </w:p>
    <w:p>
      <w:pPr>
        <w:pStyle w:val="FirstParagraph"/>
      </w:pPr>
      <w:r>
        <w:t xml:space="preserve">These are reported alongside H1-H3 but do not affect the confirmatory inference.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tudy-design"/>
    <w:p>
      <w:pPr>
        <w:pStyle w:val="Heading2"/>
      </w:pPr>
      <w:r>
        <w:t xml:space="preserve">3. Study Design</w:t>
      </w:r>
    </w:p>
    <w:bookmarkStart w:id="25" w:name="design-type"/>
    <w:p>
      <w:pPr>
        <w:pStyle w:val="Heading3"/>
      </w:pPr>
      <w:r>
        <w:t xml:space="preserve">3.1 Design type</w:t>
      </w:r>
    </w:p>
    <w:p>
      <w:pPr>
        <w:pStyle w:val="FirstParagraph"/>
      </w:pPr>
      <w:r>
        <w:t xml:space="preserve">Within-item × within-model × between-condition experimental design. Items are nested within regime bins; each item is presented to each model under each of 5 conditions, with 3 replications per (model, item, condition) cell.</w:t>
      </w:r>
    </w:p>
    <w:bookmarkEnd w:id="25"/>
    <w:bookmarkStart w:id="26" w:name="X5572cad37ce15125b43ed23110722f56d4c9902"/>
    <w:p>
      <w:pPr>
        <w:pStyle w:val="Heading3"/>
      </w:pPr>
      <w:r>
        <w:t xml:space="preserve">3.2 Conditions (independent variable: CoT length)</w:t>
      </w:r>
    </w:p>
    <w:p>
      <w:pPr>
        <w:pStyle w:val="FirstParagraph"/>
      </w:pPr>
      <w:r>
        <w:t xml:space="preserve">Five conditions, length-graded: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C1 — None</w:t>
      </w:r>
      <w:r>
        <w:t xml:space="preserve">: direct answer prompt, no CoT allowed (suppression via</w:t>
      </w:r>
      <w:r>
        <w:t xml:space="preserve"> </w:t>
      </w:r>
      <w:r>
        <w:t xml:space="preserve">“Answer in one word only.”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C2 — Short</w:t>
      </w:r>
      <w:r>
        <w:t xml:space="preserve">: ~3 reasoning steps target (</w:t>
      </w:r>
      <w:r>
        <w:t xml:space="preserve">“Think step by step, briefly, in 3 steps or fewer.”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C3 — Medium</w:t>
      </w:r>
      <w:r>
        <w:t xml:space="preserve">: ~7 reasoning steps target (</w:t>
      </w:r>
      <w:r>
        <w:t xml:space="preserve">“Think step by step in about 7 steps.”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C4 — Long</w:t>
      </w:r>
      <w:r>
        <w:t xml:space="preserve">: ~15 reasoning steps target (</w:t>
      </w:r>
      <w:r>
        <w:t xml:space="preserve">“Reason through this carefully in about 15 steps.”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C5 — Unconstrained</w:t>
      </w:r>
      <w:r>
        <w:t xml:space="preserve">: standard CoT prompt (</w:t>
      </w:r>
      <w:r>
        <w:t xml:space="preserve">“Think step by step.”</w:t>
      </w:r>
      <w:r>
        <w:t xml:space="preserve">) with no length cap.</w:t>
      </w:r>
    </w:p>
    <w:p>
      <w:pPr>
        <w:pStyle w:val="FirstParagraph"/>
      </w:pPr>
      <w:r>
        <w:t xml:space="preserve">The realized step count is recorded per response and used as the continuous independent variable in the analysis model (Section 6).</w:t>
      </w:r>
    </w:p>
    <w:bookmarkEnd w:id="26"/>
    <w:bookmarkStart w:id="27" w:name="models-between-model-factor"/>
    <w:p>
      <w:pPr>
        <w:pStyle w:val="Heading3"/>
      </w:pPr>
      <w:r>
        <w:t xml:space="preserve">3.3 Models (between-model factor)</w:t>
      </w:r>
    </w:p>
    <w:p>
      <w:pPr>
        <w:pStyle w:val="FirstParagraph"/>
      </w:pPr>
      <w:r>
        <w:t xml:space="preserve">Five models spanning a ~10× size range, all instruction-tuned, open-weight, runnable on local hardware (NVIDIA RTX 4070 Super, 12GB VRAM) with quantization where required: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M1</w:t>
      </w:r>
      <w:r>
        <w:t xml:space="preserve">: Phi-3.5-mini-instruct (3.8B parameters), bf16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M2</w:t>
      </w:r>
      <w:r>
        <w:t xml:space="preserve">: Mistral-7B-Instruct-v0.3 (7B), bf16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M3</w:t>
      </w:r>
      <w:r>
        <w:t xml:space="preserve">: Qwen-2.5-7B-Instruct (7B), bf16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M4</w:t>
      </w:r>
      <w:r>
        <w:t xml:space="preserve">: Qwen-2.5-14B-Instruct (14B), 4-bit AWQ quantization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M5</w:t>
      </w:r>
      <w:r>
        <w:t xml:space="preserve">: Qwen-2.5-32B-Instruct (32B), 4-bit AWQ quantization</w:t>
      </w:r>
    </w:p>
    <w:p>
      <w:pPr>
        <w:pStyle w:val="FirstParagraph"/>
      </w:pPr>
      <w:r>
        <w:t xml:space="preserve">If a specific model is unavailable at data-collection time, it is substituted by the closest-size instruction-tuned open-weight model released before the pre-registration timestamp. Substitutions are logged in the deviations report.</w:t>
      </w:r>
    </w:p>
    <w:bookmarkEnd w:id="27"/>
    <w:bookmarkStart w:id="28" w:name="Xd33dd9f0dc4f2a5e1104240a6be5cf1107c9370"/>
    <w:p>
      <w:pPr>
        <w:pStyle w:val="Heading3"/>
      </w:pPr>
      <w:r>
        <w:t xml:space="preserve">3.4 Items (within-condition factor, nested in regime bin)</w:t>
      </w:r>
    </w:p>
    <w:p>
      <w:pPr>
        <w:pStyle w:val="FirstParagraph"/>
      </w:pPr>
      <w:r>
        <w:t xml:space="preserve">Item pool: 79 frames constructed per §3.6 of the operationalization chapter to span Knightian, ambiguity, and aleatory uncertainty types. Items are pre-screened in the pilot (Section 9 of this pre-registration) and binned by regime score; the primary analysis uses items in the top quartile (high-regime) and bottom quartile (low-regime). Middle 50% items are retained for robustness checks but not used in the primary inference.</w:t>
      </w:r>
    </w:p>
    <w:p>
      <w:pPr>
        <w:pStyle w:val="BodyText"/>
      </w:pPr>
      <w:r>
        <w:t xml:space="preserve">Expected sample composition after pre-screen:</w:t>
      </w:r>
      <w:r>
        <w:t xml:space="preserve"> </w:t>
      </w:r>
      <w:r>
        <w:t xml:space="preserve">- High-regime: ~20 items</w:t>
      </w:r>
      <w:r>
        <w:t xml:space="preserve"> </w:t>
      </w:r>
      <w:r>
        <w:t xml:space="preserve">- Low-regime: ~20 items</w:t>
      </w:r>
      <w:r>
        <w:t xml:space="preserve"> </w:t>
      </w:r>
      <w:r>
        <w:t xml:space="preserve">- Middle (excluded from primary): ~39 items</w:t>
      </w:r>
    </w:p>
    <w:bookmarkEnd w:id="28"/>
    <w:bookmarkStart w:id="29" w:name="total-observations"/>
    <w:p>
      <w:pPr>
        <w:pStyle w:val="Heading3"/>
      </w:pPr>
      <w:r>
        <w:t xml:space="preserve">3.5 Total observations</w:t>
      </w:r>
    </w:p>
    <w:p>
      <w:pPr>
        <w:pStyle w:val="FirstParagraph"/>
      </w:pPr>
      <w:r>
        <w:t xml:space="preserve">5 models × 79 frames × 5 conditions × 3 replications =</w:t>
      </w:r>
      <w:r>
        <w:t xml:space="preserve"> </w:t>
      </w:r>
      <w:r>
        <w:rPr>
          <w:b/>
          <w:bCs/>
        </w:rPr>
        <w:t xml:space="preserve">5,925 observations</w:t>
      </w:r>
      <w:r>
        <w:t xml:space="preserve"> </w:t>
      </w:r>
      <w:r>
        <w:t xml:space="preserve">total. Primary analysis uses 5 models × ~40 high-or-low-regime items × 5 conditions × 3 replications =</w:t>
      </w:r>
      <w:r>
        <w:t xml:space="preserve"> </w:t>
      </w:r>
      <w:r>
        <w:rPr>
          <w:b/>
          <w:bCs/>
        </w:rPr>
        <w:t xml:space="preserve">~3,000 observations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sampling-plan"/>
    <w:p>
      <w:pPr>
        <w:pStyle w:val="Heading2"/>
      </w:pPr>
      <w:r>
        <w:t xml:space="preserve">4. Sampling Plan</w:t>
      </w:r>
    </w:p>
    <w:bookmarkStart w:id="31" w:name="sample-size-justification-power-analysis"/>
    <w:p>
      <w:pPr>
        <w:pStyle w:val="Heading3"/>
      </w:pPr>
      <w:r>
        <w:t xml:space="preserve">4.1 Sample size justification (power analysis)</w:t>
      </w:r>
    </w:p>
    <w:p>
      <w:pPr>
        <w:pStyle w:val="FirstParagraph"/>
      </w:pPr>
      <w:r>
        <w:rPr>
          <w:b/>
          <w:bCs/>
        </w:rPr>
        <w:t xml:space="preserve">[AMENDED v0.3 — the original normal-approximation power analysis is withdrawn as unreliable.]</w:t>
      </w:r>
      <w:r>
        <w:t xml:space="preserve"> </w:t>
      </w:r>
      <w:r>
        <w:t xml:space="preserve">The v0.2 §4.1 estimated ~0.92 power at 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0.3 by treating the model-level random effect as fixed and computing within-item paired-condition power. Implementing eq. 6.1 and simulating it showed this approximation badly overstated power: it ignored the compound decision rule, the β1/β3 collinearity, and the random-effect uncertainty of a 5-model panel. It is replaced by the following</w:t>
      </w:r>
      <w:r>
        <w:t xml:space="preserve"> </w:t>
      </w:r>
      <w:r>
        <w:rPr>
          <w:b/>
          <w:bCs/>
        </w:rPr>
        <w:t xml:space="preserve">simulation-based</w:t>
      </w:r>
      <w:r>
        <w:t xml:space="preserve"> </w:t>
      </w:r>
      <w:r>
        <w:t xml:space="preserve">power analysis (amended gate of §6.2; 30 simulated studies per effect size at the full design of 5 models × 40 items × 5 conditions × 3 replications; script</w:t>
      </w:r>
      <w:r>
        <w:t xml:space="preserve"> </w:t>
      </w:r>
      <w:r>
        <w:rPr>
          <w:rStyle w:val="VerbatimChar"/>
        </w:rPr>
        <w:t xml:space="preserve">power_curve.py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True β3</w:t>
            </w:r>
          </w:p>
        </w:tc>
        <w:tc>
          <w:tcPr/>
          <w:p>
            <w:pPr>
              <w:pStyle w:val="Compact"/>
            </w:pPr>
            <w:r>
              <w:t xml:space="preserve">Implied high-regime accuracy drop</w:t>
            </w:r>
          </w:p>
        </w:tc>
        <w:tc>
          <w:tcPr/>
          <w:p>
            <w:pPr>
              <w:pStyle w:val="Compact"/>
            </w:pPr>
            <w:r>
              <w:t xml:space="preserve">Confirmation rate (power)</w:t>
            </w:r>
          </w:p>
        </w:tc>
        <w:tc>
          <w:tcPr/>
          <w:p>
            <w:pPr>
              <w:pStyle w:val="Compact"/>
            </w:pPr>
            <w:r>
              <w:t xml:space="preserve">False-confirmation (Type 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 (null)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−0.15</w:t>
            </w:r>
          </w:p>
        </w:tc>
        <w:tc>
          <w:tcPr/>
          <w:p>
            <w:pPr>
              <w:pStyle w:val="Compact"/>
            </w:pPr>
            <w:r>
              <w:t xml:space="preserve">~3 pp (robust range)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−0.25 (modest)</w:t>
            </w:r>
          </w:p>
        </w:tc>
        <w:tc>
          <w:tcPr/>
          <w:p>
            <w:pPr>
              <w:pStyle w:val="Compact"/>
            </w:pPr>
            <w:r>
              <w:t xml:space="preserve">~10 pp (robust) / ~20 pp (min–max)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−0.40 (large)</w:t>
            </w:r>
          </w:p>
        </w:tc>
        <w:tc>
          <w:tcPr/>
          <w:p>
            <w:pPr>
              <w:pStyle w:val="Compact"/>
            </w:pPr>
            <w:r>
              <w:t xml:space="preserve">~19 pp (robust)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Powered-for statement.</w:t>
      </w:r>
      <w:r>
        <w:t xml:space="preserve"> </w:t>
      </w:r>
      <w:r>
        <w:t xml:space="preserve">The study is</w:t>
      </w:r>
      <w:r>
        <w:t xml:space="preserve"> </w:t>
      </w:r>
      <w:r>
        <w:rPr>
          <w:b/>
          <w:bCs/>
        </w:rPr>
        <w:t xml:space="preserve">adequately powered (≈ 0.90) to confirm a large reversal</w:t>
      </w:r>
      <w:r>
        <w:t xml:space="preserve"> </w:t>
      </w:r>
      <w:r>
        <w:t xml:space="preserve">(high-regime accuracy declining ~20 pp across the step range) and</w:t>
      </w:r>
      <w:r>
        <w:t xml:space="preserve"> </w:t>
      </w:r>
      <w:r>
        <w:rPr>
          <w:b/>
          <w:bCs/>
        </w:rPr>
        <w:t xml:space="preserve">underpowered (≈ 0.47) for a modest reversal</w:t>
      </w:r>
      <w:r>
        <w:t xml:space="preserve"> </w:t>
      </w:r>
      <w:r>
        <w:t xml:space="preserve">(~10 pp). This is a deliberate, disclosed limitation: the FEH framework predicts a</w:t>
      </w:r>
      <w:r>
        <w:t xml:space="preserve"> </w:t>
      </w:r>
      <w:r>
        <w:rPr>
          <w:i/>
          <w:iCs/>
        </w:rPr>
        <w:t xml:space="preserve">substantive</w:t>
      </w:r>
      <w:r>
        <w:t xml:space="preserve"> </w:t>
      </w:r>
      <w:r>
        <w:t xml:space="preserve">failure of additional reasoning under genuine meta-uncertainty (cue-truncation past k* into confabulation), not a marginal effect, and the descriptive pilot showed dramatic step-induced reversals on individual Knightian items (cannot-be-determined rate falling from 1.0 to 0.0 across conditions). A modest true effect will most likely return an</w:t>
      </w:r>
      <w:r>
        <w:t xml:space="preserve"> </w:t>
      </w:r>
      <w:r>
        <w:rPr>
          <w:b/>
          <w:bCs/>
        </w:rPr>
        <w:t xml:space="preserve">inconclusive</w:t>
      </w:r>
      <w:r>
        <w:t xml:space="preserve"> </w:t>
      </w:r>
      <w:r>
        <w:t xml:space="preserve">verdict, reported transparently per §7.3. A sweep over the number of items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raise modest-effect power (widening regime bins dilutes the per-item effect as fast as it adds N; script</w:t>
      </w:r>
      <w:r>
        <w:t xml:space="preserve"> </w:t>
      </w:r>
      <w:r>
        <w:rPr>
          <w:rStyle w:val="VerbatimChar"/>
        </w:rPr>
        <w:t xml:space="preserve">design_sweep.py</w:t>
      </w:r>
      <w:r>
        <w:t xml:space="preserve">); the only design change that would is a larger model panel, noted as a limitation rather than adopted here.</w:t>
      </w:r>
    </w:p>
    <w:bookmarkEnd w:id="31"/>
    <w:bookmarkStart w:id="32" w:name="sampling-of-items"/>
    <w:p>
      <w:pPr>
        <w:pStyle w:val="Heading3"/>
      </w:pPr>
      <w:r>
        <w:t xml:space="preserve">4.2 Sampling of items</w:t>
      </w:r>
    </w:p>
    <w:p>
      <w:pPr>
        <w:pStyle w:val="FirstParagraph"/>
      </w:pPr>
      <w:r>
        <w:t xml:space="preserve">Items are drawn from a single fixed pool of 79 frames developed in §4 (benchmark design chapter). No replacement, no oversampling. Pilot pre-screen on Mistral-7B + 10 representative frames identifies whether the regime score successfully separates items as predicted; if it does not, the operationalization (§3.2-§3.3) is revised before full data collection and this pre-registration is amended (Section 9).</w:t>
      </w:r>
    </w:p>
    <w:bookmarkEnd w:id="32"/>
    <w:bookmarkStart w:id="33" w:name="sampling-of-conditions"/>
    <w:p>
      <w:pPr>
        <w:pStyle w:val="Heading3"/>
      </w:pPr>
      <w:r>
        <w:t xml:space="preserve">4.3 Sampling of conditions</w:t>
      </w:r>
    </w:p>
    <w:p>
      <w:pPr>
        <w:pStyle w:val="FirstParagraph"/>
      </w:pPr>
      <w:r>
        <w:t xml:space="preserve">All 5 conditions are presented for every (model, item) pair. No condition is added or dropped between pilot and full study unless documented as a pre-data deviation.</w:t>
      </w:r>
    </w:p>
    <w:bookmarkEnd w:id="33"/>
    <w:bookmarkStart w:id="34" w:name="replications"/>
    <w:p>
      <w:pPr>
        <w:pStyle w:val="Heading3"/>
      </w:pPr>
      <w:r>
        <w:t xml:space="preserve">4.4 Replications</w:t>
      </w:r>
    </w:p>
    <w:p>
      <w:pPr>
        <w:pStyle w:val="FirstParagraph"/>
      </w:pPr>
      <w:r>
        <w:t xml:space="preserve">Three replications per (model, item, condition) cell. Replications differ in: (a) sampling seed (each replication uses a distinct random seed for the model’s temperature-T sampling), (b) prompt phrasing (where signature (a) of the regime score is computed across replications, the prompts are systematically varied; for the primary analysis, the canonical phrasing is used in replication 1, and replications 2-3 use rephrasings).</w:t>
      </w:r>
    </w:p>
    <w:bookmarkEnd w:id="34"/>
    <w:bookmarkStart w:id="35" w:name="exclusion-criteria"/>
    <w:p>
      <w:pPr>
        <w:pStyle w:val="Heading3"/>
      </w:pPr>
      <w:r>
        <w:t xml:space="preserve">4.5 Exclusion criteria</w:t>
      </w:r>
    </w:p>
    <w:p>
      <w:pPr>
        <w:pStyle w:val="Compact"/>
        <w:numPr>
          <w:ilvl w:val="0"/>
          <w:numId w:val="1004"/>
        </w:numPr>
      </w:pPr>
      <w:r>
        <w:t xml:space="preserve">Refused responses (model declines to answer): excluded from the analysis cell, replaced by an additional replication where possible.</w:t>
      </w:r>
    </w:p>
    <w:p>
      <w:pPr>
        <w:pStyle w:val="Compact"/>
        <w:numPr>
          <w:ilvl w:val="0"/>
          <w:numId w:val="1004"/>
        </w:numPr>
      </w:pPr>
      <w:r>
        <w:t xml:space="preserve">Malformed responses (cannot extract an answer): same handling.</w:t>
      </w:r>
    </w:p>
    <w:p>
      <w:pPr>
        <w:pStyle w:val="Compact"/>
        <w:numPr>
          <w:ilvl w:val="0"/>
          <w:numId w:val="1004"/>
        </w:numPr>
      </w:pPr>
      <w:r>
        <w:t xml:space="preserve">Items with &gt;50% refusal rate across (model, condition) cells: dropped from primary analysis, reported in supplementary.</w:t>
      </w:r>
    </w:p>
    <w:bookmarkEnd w:id="35"/>
    <w:bookmarkStart w:id="36" w:name="stopping-rule"/>
    <w:p>
      <w:pPr>
        <w:pStyle w:val="Heading3"/>
      </w:pPr>
      <w:r>
        <w:t xml:space="preserve">4.6 Stopping rule</w:t>
      </w:r>
    </w:p>
    <w:p>
      <w:pPr>
        <w:pStyle w:val="FirstParagraph"/>
      </w:pPr>
      <w:r>
        <w:t xml:space="preserve">Data collection runs to the pre-specified sample size (5,925 observations). No optional stopping. No interim analyses on the confirmatory hypothesis until data collection is complete.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variables"/>
    <w:p>
      <w:pPr>
        <w:pStyle w:val="Heading2"/>
      </w:pPr>
      <w:r>
        <w:t xml:space="preserve">5. Variables</w:t>
      </w:r>
    </w:p>
    <w:bookmarkStart w:id="38" w:name="dependent-variable"/>
    <w:p>
      <w:pPr>
        <w:pStyle w:val="Heading3"/>
      </w:pPr>
      <w:r>
        <w:t xml:space="preserve">5.1 Dependent variable</w:t>
      </w:r>
    </w:p>
    <w:p>
      <w:pPr>
        <w:pStyle w:val="FirstParagraph"/>
      </w:pPr>
      <w:r>
        <w:rPr>
          <w:b/>
          <w:bCs/>
        </w:rPr>
        <w:t xml:space="preserve">Accuracy</w:t>
      </w:r>
      <w:r>
        <w:t xml:space="preserve"> </w:t>
      </w:r>
      <w:r>
        <w:t xml:space="preserve">(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): binary indicator of whether the model’s extracted answer matches the gold-standard answer for the item. For Knightian items where no single objective ground truth exists, accuracy is replaced by</w:t>
      </w:r>
      <w:r>
        <w:t xml:space="preserve"> </w:t>
      </w:r>
      <w:r>
        <w:rPr>
          <w:b/>
          <w:bCs/>
        </w:rPr>
        <w:t xml:space="preserve">expert-panel-rated coherence</w:t>
      </w:r>
      <w:r>
        <w:t xml:space="preserve"> </w:t>
      </w:r>
      <w:r>
        <w:t xml:space="preserve">(3-expert majority on a 5-point coherence scale, binarized at the median). Pre-registered: this replacement applies only to items in the</w:t>
      </w:r>
      <w:r>
        <w:t xml:space="preserve"> </w:t>
      </w:r>
      <w:r>
        <w:t xml:space="preserve">“Knightian”</w:t>
      </w:r>
      <w:r>
        <w:t xml:space="preserve"> </w:t>
      </w:r>
      <w:r>
        <w:t xml:space="preserve">sub-category of the benchmark.</w:t>
      </w:r>
    </w:p>
    <w:bookmarkEnd w:id="38"/>
    <w:bookmarkStart w:id="39" w:name="primary-independent-variables"/>
    <w:p>
      <w:pPr>
        <w:pStyle w:val="Heading3"/>
      </w:pPr>
      <w:r>
        <w:t xml:space="preserve">5.2 Primary independent variables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steps_{ij}</w:t>
      </w:r>
      <w:r>
        <w:t xml:space="preserve">: realized number of reasoning steps in the model’s CoT trace. Computed by sentence-level segmentation of the response (with paragraph-level robustness check in §3.8).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regime_i</w:t>
      </w:r>
      <w:r>
        <w:t xml:space="preserve">: binary high-regime indicator (1 = top quartile of regime score, 0 = bottom quartile).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regime × steps</w:t>
      </w:r>
      <w:r>
        <w:t xml:space="preserve">: interaction term (the primary test).</w:t>
      </w:r>
    </w:p>
    <w:bookmarkEnd w:id="39"/>
    <w:bookmarkStart w:id="40" w:name="controls-random-effects"/>
    <w:p>
      <w:pPr>
        <w:pStyle w:val="Heading3"/>
      </w:pPr>
      <w:r>
        <w:t xml:space="preserve">5.3 Controls / random effects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</w:t>
      </w:r>
      <w:r>
        <w:t xml:space="preserve">: 5-level factor entered as model-level random intercept and random slope on steps.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item</w:t>
      </w:r>
      <w:r>
        <w:t xml:space="preserve">: random intercept (within regime bin).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condition</w:t>
      </w:r>
      <w:r>
        <w:t xml:space="preserve">: 5-level fixed effect controlling for prompt template baseline (the</w:t>
      </w:r>
      <w:r>
        <w:t xml:space="preserve"> </w:t>
      </w:r>
      <w:r>
        <w:t xml:space="preserve">“target”</w:t>
      </w:r>
      <w:r>
        <w:t xml:space="preserve"> </w:t>
      </w:r>
      <w:r>
        <w:t xml:space="preserve">CoT length is not the only thing the prompt manipulates; the random slope on the realized step count is the substantive variable).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replication seed</w:t>
      </w:r>
      <w:r>
        <w:t xml:space="preserve">: not modeled (averaged within cell).</w:t>
      </w:r>
    </w:p>
    <w:bookmarkEnd w:id="40"/>
    <w:bookmarkStart w:id="41" w:name="operational-definition-of-step-count"/>
    <w:p>
      <w:pPr>
        <w:pStyle w:val="Heading3"/>
      </w:pPr>
      <w:r>
        <w:t xml:space="preserve">5.4 Operational definition of step count</w:t>
      </w:r>
    </w:p>
    <w:p>
      <w:pPr>
        <w:pStyle w:val="FirstParagraph"/>
      </w:pPr>
      <w:r>
        <w:t xml:space="preserve">A reasoning step is a sentence in the CoT trace that contains at least one of: (a) inferential connective (</w:t>
      </w:r>
      <w:r>
        <w:t xml:space="preserve">“therefore”</w:t>
      </w:r>
      <w:r>
        <w:t xml:space="preserve">,</w:t>
      </w:r>
      <w:r>
        <w:t xml:space="preserve"> </w:t>
      </w:r>
      <w:r>
        <w:t xml:space="preserve">“so”</w:t>
      </w:r>
      <w:r>
        <w:t xml:space="preserve">,</w:t>
      </w:r>
      <w:r>
        <w:t xml:space="preserve"> </w:t>
      </w:r>
      <w:r>
        <w:t xml:space="preserve">“because”</w:t>
      </w:r>
      <w:r>
        <w:t xml:space="preserve">, etc.), (b) intermediate computation, (c) intermediate claim about the task. Sentences that only meta-comment (</w:t>
      </w:r>
      <w:r>
        <w:t xml:space="preserve">“Let me think about this”</w:t>
      </w:r>
      <w:r>
        <w:t xml:space="preserve">) are not counted as steps. Step-counting is automated via a pre-specified regex + LLM-judge pipeline; inter-rater reliability against a 100-item human-coded subsample must exceed Cohen’s κ = 0.7 before automated counts are used in the primary analysis.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analysis-plan"/>
    <w:p>
      <w:pPr>
        <w:pStyle w:val="Heading2"/>
      </w:pPr>
      <w:r>
        <w:t xml:space="preserve">6. Analysis Plan</w:t>
      </w:r>
    </w:p>
    <w:bookmarkStart w:id="43" w:name="primary-analysis-model"/>
    <w:p>
      <w:pPr>
        <w:pStyle w:val="Heading3"/>
      </w:pPr>
      <w:r>
        <w:t xml:space="preserve">6.1 Primary analysis model</w:t>
      </w:r>
    </w:p>
    <w:p>
      <w:pPr>
        <w:pStyle w:val="FirstParagraph"/>
      </w:pPr>
      <w:r>
        <w:t xml:space="preserve">Hierarchical Bayesian model: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l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σ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m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j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m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j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the logistic function,</w:t>
      </w:r>
      <w:r>
        <w:t xml:space="preserve"> </w:t>
      </w:r>
      <m:oMath>
        <m:sSub>
          <m:e>
            <m:r>
              <m:t>α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model-level random intercept and random slope,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item-level random intercept,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i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indexes the model for observation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Priors: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2.5</m:t>
        </m:r>
        <m:r>
          <m:rPr>
            <m:sty m:val="p"/>
          </m:rPr>
          <m:t>)</m:t>
        </m:r>
      </m:oMath>
      <w:r>
        <w:t xml:space="preserve"> </w:t>
      </w:r>
      <w:r>
        <w:t xml:space="preserve">(weakly informative on the logit scale)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(weakly informative on the standardized step scale)</w:t>
      </w:r>
      <w:r>
        <w:t xml:space="preserve"> </w:t>
      </w:r>
      <w:r>
        <w:t xml:space="preserve">- Random effect SDs</w:t>
      </w:r>
      <w:r>
        <w:t xml:space="preserve"> </w:t>
      </w:r>
      <m:oMath>
        <m:r>
          <m:rPr>
            <m:sty m:val="p"/>
          </m:rPr>
          <m:t>∼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f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Implementation: PyMC (Bayesian sampling). 4 chains, 2000 warm-up + 2000 sampling iterations each. Convergence: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  <m:r>
          <m:rPr>
            <m:sty m:val="p"/>
          </m:rPr>
          <m:t>&lt;</m:t>
        </m:r>
        <m:r>
          <m:t>1.01</m:t>
        </m:r>
      </m:oMath>
      <w:r>
        <w:t xml:space="preserve">, ESS &gt; 400 per parameter.</w:t>
      </w:r>
    </w:p>
    <w:bookmarkEnd w:id="43"/>
    <w:bookmarkStart w:id="44" w:name="primary-inference-statistic"/>
    <w:p>
      <w:pPr>
        <w:pStyle w:val="Heading3"/>
      </w:pPr>
      <w:r>
        <w:t xml:space="preserve">6.2 Primary inference statistic</w:t>
      </w:r>
    </w:p>
    <w:p>
      <w:pPr>
        <w:pStyle w:val="FirstParagraph"/>
      </w:pPr>
      <w:r>
        <w:rPr>
          <w:b/>
          <w:bCs/>
        </w:rPr>
        <w:t xml:space="preserve">[AMENDED v0.3.]</w:t>
      </w:r>
      <w:r>
        <w:t xml:space="preserve"> </w:t>
      </w:r>
      <w:r>
        <w:t xml:space="preserve">H1 is evaluated by</w:t>
      </w:r>
      <w:r>
        <w:t xml:space="preserve"> </w:t>
      </w:r>
      <w:r>
        <w:rPr>
          <w:b/>
          <w:bCs/>
        </w:rPr>
        <w:t xml:space="preserve">two jointly-required quantities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Directional: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0.95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Magnitude:</w:t>
      </w:r>
      <w:r>
        <w:t xml:space="preserve"> </w:t>
      </w:r>
      <w:r>
        <w:t xml:space="preserve">the posterior-median</w:t>
      </w:r>
      <w:r>
        <w:t xml:space="preserve"> </w:t>
      </w:r>
      <w:r>
        <w:rPr>
          <w:b/>
          <w:bCs/>
        </w:rPr>
        <w:t xml:space="preserve">robust implied accuracy drop</w:t>
      </w:r>
      <w:r>
        <w:t xml:space="preserve"> </w:t>
      </w:r>
      <w:r>
        <w:t xml:space="preserve">exceeds</w:t>
      </w:r>
      <w:r>
        <w:t xml:space="preserve"> </w:t>
      </w:r>
      <w:r>
        <w:rPr>
          <w:b/>
          <w:bCs/>
        </w:rPr>
        <w:t xml:space="preserve">6 percentage points</w:t>
      </w:r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robust implied accuracy drop</w:t>
      </w:r>
      <w:r>
        <w:t xml:space="preserve"> </w:t>
      </w:r>
      <w:r>
        <w:t xml:space="preserve">(new estimand for gating, replacing the v0.2 §6.3 min-to-max definition) is the high-regime accuracy difference between the</w:t>
      </w:r>
      <w:r>
        <w:t xml:space="preserve"> </w:t>
      </w:r>
      <w:r>
        <w:rPr>
          <w:b/>
          <w:bCs/>
        </w:rPr>
        <w:t xml:space="preserve">10th and 90th percentile</w:t>
      </w:r>
      <w:r>
        <w:t xml:space="preserve"> </w:t>
      </w:r>
      <w:r>
        <w:t xml:space="preserve">of the within-model standardized step count, evaluated at the</w:t>
      </w:r>
      <w:r>
        <w:t xml:space="preserve"> </w:t>
      </w:r>
      <w:r>
        <w:rPr>
          <w:b/>
          <w:bCs/>
        </w:rPr>
        <w:t xml:space="preserve">empirical high-regime base rate</w:t>
      </w:r>
      <w:r>
        <w:t xml:space="preserve">, and depending only on the posterior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 It is independent of the global intercept (weakly identified with 5 models) and robust to outlier maximum-step responses. The 6 pp floor was selected by</w:t>
      </w:r>
      <w:r>
        <w:t xml:space="preserve"> </w:t>
      </w:r>
      <w:r>
        <w:rPr>
          <w:rStyle w:val="VerbatimChar"/>
        </w:rPr>
        <w:t xml:space="preserve">power_curve.py</w:t>
      </w:r>
      <w:r>
        <w:t xml:space="preserve">: among candidate floors {6, 8, 10} it maximised power at equal (zero) Type I error.</w:t>
      </w:r>
    </w:p>
    <w:p>
      <w:pPr>
        <w:pStyle w:val="BodyText"/>
      </w:pPr>
      <w:r>
        <w:t xml:space="preserve">The v0.2 statistic —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t> </m:t>
        </m:r>
        <m:r>
          <m:rPr>
            <m:nor/>
            <m:sty m:val="p"/>
          </m:rPr>
          <m:t>AND</m:t>
        </m:r>
        <m:r>
          <m:t> 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t xml:space="preserve">, the full-reversal probability — is</w:t>
      </w:r>
      <w:r>
        <w:t xml:space="preserve"> </w:t>
      </w:r>
      <w:r>
        <w:rPr>
          <w:b/>
          <w:bCs/>
        </w:rPr>
        <w:t xml:space="preserve">retained as a reported effect size</w:t>
      </w:r>
      <w:r>
        <w:t xml:space="preserve">, not the confirmatory gate.</w:t>
      </w:r>
    </w:p>
    <w:bookmarkEnd w:id="44"/>
    <w:bookmarkStart w:id="45" w:name="effect-size-reporting"/>
    <w:p>
      <w:pPr>
        <w:pStyle w:val="Heading3"/>
      </w:pPr>
      <w:r>
        <w:t xml:space="preserve">6.3 Effect-size reporting</w:t>
      </w:r>
    </w:p>
    <w:p>
      <w:pPr>
        <w:pStyle w:val="FirstParagraph"/>
      </w:pPr>
      <w:r>
        <w:t xml:space="preserve">Reported alongside the posterior probability:</w:t>
      </w:r>
      <w:r>
        <w:t xml:space="preserve"> </w:t>
      </w:r>
      <w:r>
        <w:t xml:space="preserve">- Posterior median and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- Implied within-bin slope of accuracy on step count for both high- and low-regime, on the probability scale (computed via posterior-predictive simulation).</w:t>
      </w:r>
      <w:r>
        <w:t xml:space="preserve"> </w:t>
      </w:r>
      <w:r>
        <w:t xml:space="preserve">- Implied accuracy drop in percentage points from minimum to maximum observed step count in the high-regime bin, for each model.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[v0.3]</w:t>
      </w:r>
      <w:r>
        <w:t xml:space="preserve"> </w:t>
      </w:r>
      <w:r>
        <w:t xml:space="preserve">The robust implied accuracy drop (10th–90th percentile step range at the empirical base rate; the §6.2 gating estimand) with its 95% credible interval, and the full-reversal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∧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6" w:name="Xff3a04685c8acf9fc21ce8d184808a1ad394dc4"/>
    <w:p>
      <w:pPr>
        <w:pStyle w:val="Heading3"/>
      </w:pPr>
      <w:r>
        <w:t xml:space="preserve">6.4 Sensitivity / robustness checks (pre-specified)</w:t>
      </w:r>
    </w:p>
    <w:p>
      <w:pPr>
        <w:pStyle w:val="FirstParagraph"/>
      </w:pPr>
      <w:r>
        <w:t xml:space="preserve">Performed regardless of primary result; reported in supplementary: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R1</w:t>
      </w:r>
      <w:r>
        <w:t xml:space="preserve">: Re-fit (6.1) with paragraph-level rather than sentence-level step segmentation.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R2</w:t>
      </w:r>
      <w:r>
        <w:t xml:space="preserve">: Re-fit (6.1) using terciles rather than quartiles for regime binning, and on the full continuous regime score (no binning) with a linear interaction term.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R3</w:t>
      </w:r>
      <w:r>
        <w:t xml:space="preserve">: Re-fit (6.1) using the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regime score (dropping calibration error), per the §3.7 simulate-and-recover finding.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R4</w:t>
      </w:r>
      <w:r>
        <w:t xml:space="preserve">: Re-fit (6.1) on items not used in regime-score calibration (held-out subset), to rule out double-dipping.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R5</w:t>
      </w:r>
      <w:r>
        <w:t xml:space="preserve">: Fit (6.1) separately per model, report consistency of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sign across models.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R6 [ADDED v0.3]</w:t>
      </w:r>
      <w:r>
        <w:t xml:space="preserve">: Re-fit (6.1) with an added</w:t>
      </w:r>
      <w:r>
        <w:t xml:space="preserve"> </w:t>
      </w:r>
      <w:r>
        <w:rPr>
          <w:b/>
          <w:bCs/>
        </w:rPr>
        <w:t xml:space="preserve">item-level random slope</w:t>
      </w:r>
      <w:r>
        <w:t xml:space="preserve"> </w:t>
      </w:r>
      <w:r>
        <w:t xml:space="preserve">on steps (eq. 6.1 currently carries only an item random intercept). Simulation indicated that item-to-item effect heterogeneity, if unmodeled, can understate uncertainty; R6 checks the primary result is robust to modeling it.</w:t>
      </w:r>
      <w:r>
        <w:t xml:space="preserve"> </w:t>
      </w:r>
      <w:r>
        <w:rPr>
          <w:i/>
          <w:iCs/>
        </w:rPr>
        <w:t xml:space="preserve">(Note re R2: simulation found the continuous-regime model does not outperform the quartile-binned primary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design_sweep.md</w:t>
      </w:r>
      <w:r>
        <w:rPr>
          <w:i/>
          <w:iCs/>
        </w:rPr>
        <w:t xml:space="preserve"> </w:t>
      </w:r>
      <w:r>
        <w:rPr>
          <w:i/>
          <w:iCs/>
        </w:rPr>
        <w:t xml:space="preserve">— so R2 remains a robustness check, not a primary substitute.)</w:t>
      </w:r>
    </w:p>
    <w:bookmarkEnd w:id="46"/>
    <w:bookmarkStart w:id="47" w:name="multiple-comparisons"/>
    <w:p>
      <w:pPr>
        <w:pStyle w:val="Heading3"/>
      </w:pPr>
      <w:r>
        <w:t xml:space="preserve">6.5 Multiple comparisons</w:t>
      </w:r>
    </w:p>
    <w:p>
      <w:pPr>
        <w:pStyle w:val="FirstParagraph"/>
      </w:pPr>
      <w:r>
        <w:t xml:space="preserve">Primary inference is a single test (the posterior probability for H1). H2 and H3 are confirmatory but logically distinct hypotheses tested separately; no correction is applied across H1/H2/H3 because each addresses a different theoretical claim. Robustness checks R1-R6 are not used to update the confirmatory inference; they probe the conditional invariance of the result.</w:t>
      </w:r>
    </w:p>
    <w:p>
      <w:pPr>
        <w:pStyle w:val="BodyText"/>
      </w:pPr>
      <w:r>
        <w:t xml:space="preserve">Exploratory analyses (E1-E3) are reported with Bayes factors and the explicit</w:t>
      </w:r>
      <w:r>
        <w:t xml:space="preserve"> </w:t>
      </w:r>
      <w:r>
        <w:t xml:space="preserve">“exploratory”</w:t>
      </w:r>
      <w:r>
        <w:t xml:space="preserve"> </w:t>
      </w:r>
      <w:r>
        <w:t xml:space="preserve">label; they are not used to support confirmatory claims.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inference-criteria-and-falsification"/>
    <w:p>
      <w:pPr>
        <w:pStyle w:val="Heading2"/>
      </w:pPr>
      <w:r>
        <w:t xml:space="preserve">7. Inference Criteria and Falsification</w:t>
      </w:r>
    </w:p>
    <w:bookmarkStart w:id="49" w:name="confirmation-positive-result"/>
    <w:p>
      <w:pPr>
        <w:pStyle w:val="Heading3"/>
      </w:pPr>
      <w:r>
        <w:t xml:space="preserve">7.1 Confirmation (positive result)</w:t>
      </w:r>
    </w:p>
    <w:p>
      <w:pPr>
        <w:pStyle w:val="FirstParagraph"/>
      </w:pPr>
      <w:r>
        <w:rPr>
          <w:b/>
          <w:bCs/>
        </w:rPr>
        <w:t xml:space="preserve">[AMENDED v0.3.]</w:t>
      </w:r>
      <w:r>
        <w:t xml:space="preserve"> </w:t>
      </w:r>
      <w:r>
        <w:t xml:space="preserve">H1 is confirmed iff</w:t>
      </w:r>
      <w:r>
        <w:t xml:space="preserve"> </w:t>
      </w:r>
      <w:r>
        <w:rPr>
          <w:b/>
          <w:bCs/>
        </w:rPr>
        <w:t xml:space="preserve">both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0.95</m:t>
        </m:r>
      </m:oMath>
      <w:r>
        <w:t xml:space="preserve">, and</w:t>
      </w:r>
      <w:r>
        <w:t xml:space="preserve"> </w:t>
      </w:r>
      <w:r>
        <w:t xml:space="preserve">2. the posterior-median robust implied high-regime accuracy drop (§6.2) exceeds</w:t>
      </w:r>
      <w:r>
        <w:t xml:space="preserve"> </w:t>
      </w:r>
      <w:r>
        <w:rPr>
          <w:b/>
          <w:bCs/>
        </w:rPr>
        <w:t xml:space="preserve">6 percentage points</w:t>
      </w:r>
      <w:r>
        <w:t xml:space="preserve">.</w:t>
      </w:r>
    </w:p>
    <w:p>
      <w:pPr>
        <w:pStyle w:val="BodyText"/>
      </w:pPr>
      <w:r>
        <w:t xml:space="preserve">The low-regime-slope sign and the full-reversal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∧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are reported alongside but no longer gate confirmation.</w:t>
      </w:r>
    </w:p>
    <w:bookmarkEnd w:id="49"/>
    <w:bookmarkStart w:id="50" w:name="X4174f5c7c82e6cccbb0f09c46ebb6baa73d2d51"/>
    <w:p>
      <w:pPr>
        <w:pStyle w:val="Heading3"/>
      </w:pPr>
      <w:r>
        <w:t xml:space="preserve">7.2 Falsification (negative result that updates the framework)</w:t>
      </w:r>
    </w:p>
    <w:p>
      <w:pPr>
        <w:pStyle w:val="FirstParagraph"/>
      </w:pPr>
      <w:r>
        <w:rPr>
          <w:b/>
          <w:bCs/>
        </w:rPr>
        <w:t xml:space="preserve">[AMENDED v0.3.]</w:t>
      </w:r>
      <w:r>
        <w:t xml:space="preserve"> </w:t>
      </w:r>
      <w:r>
        <w:t xml:space="preserve">H1 is falsified iff: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0.95</m:t>
        </m:r>
      </m:oMath>
      <w:r>
        <w:t xml:space="preserve"> </w:t>
      </w:r>
      <w:r>
        <w:t xml:space="preserve">(the interaction is in the opposite direction with high posterior probability), or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0.95</m:t>
        </m:r>
      </m:oMath>
      <w:r>
        <w:t xml:space="preserve"> </w:t>
      </w:r>
      <w:r>
        <w:t xml:space="preserve">but the robust implied accuracy drop is &lt;</w:t>
      </w:r>
      <w:r>
        <w:t xml:space="preserve"> </w:t>
      </w:r>
      <w:r>
        <w:rPr>
          <w:b/>
          <w:bCs/>
        </w:rPr>
        <w:t xml:space="preserve">3 percentage points</w:t>
      </w:r>
      <w:r>
        <w:t xml:space="preserve"> </w:t>
      </w:r>
      <w:r>
        <w:t xml:space="preserve">(the directional effect is real but practically negligible — the framework predicts a substantive failure mode, not a noise-level effect).</w:t>
      </w:r>
    </w:p>
    <w:bookmarkEnd w:id="50"/>
    <w:bookmarkStart w:id="51" w:name="inconclusive"/>
    <w:p>
      <w:pPr>
        <w:pStyle w:val="Heading3"/>
      </w:pPr>
      <w:r>
        <w:t xml:space="preserve">7.3 Inconclusive</w:t>
      </w:r>
    </w:p>
    <w:p>
      <w:pPr>
        <w:pStyle w:val="FirstParagraph"/>
      </w:pPr>
      <w:r>
        <w:t xml:space="preserve">Any other outcome (e.g.,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0.95</m:t>
        </m:r>
        <m:r>
          <m:rPr>
            <m:sty m:val="p"/>
          </m:rPr>
          <m:t>]</m:t>
        </m:r>
      </m:oMath>
      <w:r>
        <w:t xml:space="preserve">, or directional effect with 5-10pp implied drop). Reported transparently as inconclusive; framework remains plausible but unconfirmed.</w:t>
      </w:r>
    </w:p>
    <w:bookmarkEnd w:id="51"/>
    <w:bookmarkStart w:id="52" w:name="what-we-will-not-do"/>
    <w:p>
      <w:pPr>
        <w:pStyle w:val="Heading3"/>
      </w:pPr>
      <w:r>
        <w:t xml:space="preserve">7.4 What we will NOT do</w:t>
      </w:r>
    </w:p>
    <w:p>
      <w:pPr>
        <w:pStyle w:val="Compact"/>
        <w:numPr>
          <w:ilvl w:val="0"/>
          <w:numId w:val="1009"/>
        </w:numPr>
      </w:pPr>
      <w:r>
        <w:t xml:space="preserve">Run additional analyses to</w:t>
      </w:r>
      <w:r>
        <w:t xml:space="preserve"> </w:t>
      </w:r>
      <w:r>
        <w:t xml:space="preserve">“rescue”</w:t>
      </w:r>
      <w:r>
        <w:t xml:space="preserve"> </w:t>
      </w:r>
      <w:r>
        <w:t xml:space="preserve">a non-confirmatory result and report them as confirmatory.</w:t>
      </w:r>
    </w:p>
    <w:p>
      <w:pPr>
        <w:pStyle w:val="Compact"/>
        <w:numPr>
          <w:ilvl w:val="0"/>
          <w:numId w:val="1009"/>
        </w:numPr>
      </w:pPr>
      <w:r>
        <w:t xml:space="preserve">Re-bin items or change regime thresholds after seeing primary results.</w:t>
      </w:r>
    </w:p>
    <w:p>
      <w:pPr>
        <w:pStyle w:val="Compact"/>
        <w:numPr>
          <w:ilvl w:val="0"/>
          <w:numId w:val="1009"/>
        </w:numPr>
      </w:pPr>
      <w:r>
        <w:t xml:space="preserve">Cherry-pick subsets of models or items to recover effects.</w:t>
      </w:r>
    </w:p>
    <w:p>
      <w:pPr>
        <w:pStyle w:val="Compact"/>
        <w:numPr>
          <w:ilvl w:val="0"/>
          <w:numId w:val="1009"/>
        </w:numPr>
      </w:pPr>
      <w:r>
        <w:t xml:space="preserve">Add or remove items, conditions, or models after pre-registration without amendment.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confound-controls"/>
    <w:p>
      <w:pPr>
        <w:pStyle w:val="Heading2"/>
      </w:pPr>
      <w:r>
        <w:t xml:space="preserve">8. Confound Controls</w:t>
      </w:r>
    </w:p>
    <w:p>
      <w:pPr>
        <w:pStyle w:val="FirstParagraph"/>
      </w:pPr>
      <w:r>
        <w:t xml:space="preserve">The three confound mechanisms identified in §3.8 of the operationalization chapter receive paired control item sets:</w:t>
      </w:r>
    </w:p>
    <w:bookmarkStart w:id="54" w:name="X66177627f7e39a0d44ac927a92338f89511b453"/>
    <w:p>
      <w:pPr>
        <w:pStyle w:val="Heading3"/>
      </w:pPr>
      <w:r>
        <w:t xml:space="preserve">8.1 Prompt-sensitivity baseline (controls signature a)</w:t>
      </w:r>
    </w:p>
    <w:p>
      <w:pPr>
        <w:pStyle w:val="FirstParagraph"/>
      </w:pPr>
      <w:r>
        <w:t xml:space="preserve">Reference set of 10 items with well-attested ground truth (textbook arithmetic, well-known historical facts, standard math identities). Pre-registered prediction: reference items do NOT score in the high-regime bin. If they do, signature (a) is contaminated by base-rate prompt sensitivity; we apply per-model prompt-sensitivity correction (subtract per-model baseline cross-prompt variance on reference items) and re-run the primary analysis.</w:t>
      </w:r>
    </w:p>
    <w:bookmarkEnd w:id="54"/>
    <w:bookmarkStart w:id="55" w:name="aleatory-control-controls-signature-b"/>
    <w:p>
      <w:pPr>
        <w:pStyle w:val="Heading3"/>
      </w:pPr>
      <w:r>
        <w:t xml:space="preserve">8.2 Aleatory control (controls signature b)</w:t>
      </w:r>
    </w:p>
    <w:p>
      <w:pPr>
        <w:pStyle w:val="FirstParagraph"/>
      </w:pPr>
      <w:r>
        <w:t xml:space="preserve">Set of 10 items with high inherent stochasticity but no meta-uncertainty (e.g.,</w:t>
      </w:r>
      <w:r>
        <w:t xml:space="preserve"> </w:t>
      </w:r>
      <w:r>
        <w:t xml:space="preserve">“predict the outcome of a fair coin flip”</w:t>
      </w:r>
      <w:r>
        <w:t xml:space="preserve">). Pre-registered prediction: aleatory items may show high cross-seed variance but should NOT show the CoT-degradation pattern. If they do, the regime score is confounded with aleatory uncertainty.</w:t>
      </w:r>
    </w:p>
    <w:bookmarkEnd w:id="55"/>
    <w:bookmarkStart w:id="56" w:name="X2d3520b214c8ac876b988b014be4da3cc4b918c"/>
    <w:p>
      <w:pPr>
        <w:pStyle w:val="Heading3"/>
      </w:pPr>
      <w:r>
        <w:t xml:space="preserve">8.3 Per-model calibration baseline (controls signature c)</w:t>
      </w:r>
    </w:p>
    <w:p>
      <w:pPr>
        <w:pStyle w:val="FirstParagraph"/>
      </w:pPr>
      <w:r>
        <w:t xml:space="preserve">For each model, calibration error on a fixed 30-item well-defined probe set is computed and subtracted from per-item calibration error before z-standardization. If signature (c) carries weight in the final regime score, this correction prevents per-model calibration quirks from dominating the regime assignment.</w:t>
      </w:r>
    </w:p>
    <w:bookmarkEnd w:id="56"/>
    <w:bookmarkStart w:id="57" w:name="reporting"/>
    <w:p>
      <w:pPr>
        <w:pStyle w:val="Heading3"/>
      </w:pPr>
      <w:r>
        <w:t xml:space="preserve">8.4 Reporting</w:t>
      </w:r>
    </w:p>
    <w:p>
      <w:pPr>
        <w:pStyle w:val="FirstParagraph"/>
      </w:pPr>
      <w:r>
        <w:t xml:space="preserve">All three control comparisons are reported in the primary results section as confirmatory tests of the regime score’s validity. A failure on any one is reported transparently and the affected signature is either corrected (via the specified procedure) or dropped from the aggregator.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deviations-protocol"/>
    <w:p>
      <w:pPr>
        <w:pStyle w:val="Heading2"/>
      </w:pPr>
      <w:r>
        <w:t xml:space="preserve">9. Deviations Protocol</w:t>
      </w:r>
    </w:p>
    <w:bookmarkStart w:id="59" w:name="pilot-driven-amendments-permitted"/>
    <w:p>
      <w:pPr>
        <w:pStyle w:val="Heading3"/>
      </w:pPr>
      <w:r>
        <w:t xml:space="preserve">9.1 Pilot-driven amendments (permitted)</w:t>
      </w:r>
    </w:p>
    <w:p>
      <w:pPr>
        <w:pStyle w:val="FirstParagraph"/>
      </w:pPr>
      <w:r>
        <w:t xml:space="preserve">The §4 pilot may reveal that:</w:t>
      </w:r>
      <w:r>
        <w:t xml:space="preserve"> </w:t>
      </w:r>
      <w:r>
        <w:t xml:space="preserve">- The regime score does not separate items in the expected direction.</w:t>
      </w:r>
      <w:r>
        <w:t xml:space="preserve"> </w:t>
      </w:r>
      <w:r>
        <w:t xml:space="preserve">- Step counting is unreliable below the pre-specified κ = 0.7 threshold.</w:t>
      </w:r>
      <w:r>
        <w:t xml:space="preserve"> </w:t>
      </w:r>
      <w:r>
        <w:t xml:space="preserve">- One or more conditions produces uninterpretable responses.</w:t>
      </w:r>
    </w:p>
    <w:p>
      <w:pPr>
        <w:pStyle w:val="BodyText"/>
      </w:pPr>
      <w:r>
        <w:t xml:space="preserve">If any of the above occurs, the operationalization is revised before full data collection, and this pre-registration is</w:t>
      </w:r>
      <w:r>
        <w:t xml:space="preserve"> </w:t>
      </w:r>
      <w:r>
        <w:rPr>
          <w:b/>
          <w:bCs/>
        </w:rPr>
        <w:t xml:space="preserve">amended</w:t>
      </w:r>
      <w:r>
        <w:t xml:space="preserve"> </w:t>
      </w:r>
      <w:r>
        <w:t xml:space="preserve">(timestamped, visible on OSF, with the change rationale documented). Amendment occurs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full study begins, not after data is collected.</w:t>
      </w:r>
    </w:p>
    <w:bookmarkEnd w:id="59"/>
    <w:bookmarkStart w:id="60" w:name="model-substitution-rule-permitted"/>
    <w:p>
      <w:pPr>
        <w:pStyle w:val="Heading3"/>
      </w:pPr>
      <w:r>
        <w:t xml:space="preserve">9.2 Model-substitution rule (permitted)</w:t>
      </w:r>
    </w:p>
    <w:p>
      <w:pPr>
        <w:pStyle w:val="FirstParagraph"/>
      </w:pPr>
      <w:r>
        <w:t xml:space="preserve">If a specific model is unavailable at data collection (deprecated, weights removed, infrastructure-incompatible), it is substituted by the closest-size instruction-tuned open-weight model released before this pre-registration’s timestamp. Substitutions are logged in the deviations report.</w:t>
      </w:r>
    </w:p>
    <w:bookmarkEnd w:id="60"/>
    <w:bookmarkStart w:id="61" w:name="X475a77abc4c57de7039097237763c495bbcbed2"/>
    <w:p>
      <w:pPr>
        <w:pStyle w:val="Heading3"/>
      </w:pPr>
      <w:r>
        <w:t xml:space="preserve">9.3 Post-data-collection deviations (not permitted for confirmatory analyses)</w:t>
      </w:r>
    </w:p>
    <w:p>
      <w:pPr>
        <w:pStyle w:val="FirstParagraph"/>
      </w:pPr>
      <w:r>
        <w:t xml:space="preserve">After full-study data collection begins, no changes to (6.1), the regime bins, the conditions, or the items are allowed for the confirmatory analyses. Any post-collection observation that warrants further investigation is reported as exploratory.</w:t>
      </w:r>
    </w:p>
    <w:bookmarkEnd w:id="61"/>
    <w:bookmarkStart w:id="62" w:name="disclosure"/>
    <w:p>
      <w:pPr>
        <w:pStyle w:val="Heading3"/>
      </w:pPr>
      <w:r>
        <w:t xml:space="preserve">9.4 Disclosure</w:t>
      </w:r>
    </w:p>
    <w:p>
      <w:pPr>
        <w:pStyle w:val="FirstParagraph"/>
      </w:pPr>
      <w:r>
        <w:t xml:space="preserve">All deviations — pilot-driven or otherwise — are disclosed in the manuscript and on the OSF project page. Even minor deviations (e.g., dropping one item due to data corruption) are logged.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data-and-code-sharing"/>
    <w:p>
      <w:pPr>
        <w:pStyle w:val="Heading2"/>
      </w:pPr>
      <w:r>
        <w:t xml:space="preserve">10. Data and Code Sharing</w:t>
      </w:r>
    </w:p>
    <w:bookmarkStart w:id="64" w:name="code"/>
    <w:p>
      <w:pPr>
        <w:pStyle w:val="Heading3"/>
      </w:pPr>
      <w:r>
        <w:t xml:space="preserve">10.1 Code</w:t>
      </w:r>
    </w:p>
    <w:p>
      <w:pPr>
        <w:pStyle w:val="FirstParagraph"/>
      </w:pPr>
      <w:r>
        <w:t xml:space="preserve">All code (data collection pipeline, regime-score estimator, step-counting pipeline, analysis scripts, plotting code) released under MIT license. Repository URL to be inserted at first commit (target:</w:t>
      </w:r>
      <w:r>
        <w:t xml:space="preserve"> </w:t>
      </w:r>
      <w:r>
        <w:rPr>
          <w:rStyle w:val="VerbatimChar"/>
        </w:rPr>
        <w:t xml:space="preserve">https://github.com/&lt;EvolutionAIry-handle&gt;/free-energy-heuristics</w:t>
      </w:r>
      <w:r>
        <w:t xml:space="preserve">); see Appendix C for the OSF-submission addendum protocol. Release at manuscript submission with immutable git tag</w:t>
      </w:r>
      <w:r>
        <w:t xml:space="preserve"> </w:t>
      </w:r>
      <w:r>
        <w:rPr>
          <w:rStyle w:val="VerbatimChar"/>
        </w:rPr>
        <w:t xml:space="preserve">v1.0</w:t>
      </w:r>
      <w:r>
        <w:t xml:space="preserve">.</w:t>
      </w:r>
    </w:p>
    <w:bookmarkEnd w:id="64"/>
    <w:bookmarkStart w:id="65" w:name="data"/>
    <w:p>
      <w:pPr>
        <w:pStyle w:val="Heading3"/>
      </w:pPr>
      <w:r>
        <w:t xml:space="preserve">10.2 Data</w:t>
      </w:r>
    </w:p>
    <w:p>
      <w:pPr>
        <w:pStyle w:val="Compact"/>
        <w:numPr>
          <w:ilvl w:val="0"/>
          <w:numId w:val="1010"/>
        </w:numPr>
      </w:pPr>
      <w:r>
        <w:t xml:space="preserve">Raw LLM responses (per model, per item, per condition, per replication): JSON files, CC-BY-4.0, hosted on OSF.</w:t>
      </w:r>
    </w:p>
    <w:p>
      <w:pPr>
        <w:pStyle w:val="Compact"/>
        <w:numPr>
          <w:ilvl w:val="0"/>
          <w:numId w:val="1010"/>
        </w:numPr>
      </w:pPr>
      <w:r>
        <w:t xml:space="preserve">Item set with regime scores: CSV, CC-BY-4.0, hosted on OSF.</w:t>
      </w:r>
    </w:p>
    <w:p>
      <w:pPr>
        <w:pStyle w:val="Compact"/>
        <w:numPr>
          <w:ilvl w:val="0"/>
          <w:numId w:val="1010"/>
        </w:numPr>
      </w:pPr>
      <w:r>
        <w:t xml:space="preserve">Analysis-ready data frame (responses × predictors × outcome): Parquet, CC-BY-4.0, hosted on OSF.</w:t>
      </w:r>
    </w:p>
    <w:p>
      <w:pPr>
        <w:pStyle w:val="Compact"/>
        <w:numPr>
          <w:ilvl w:val="0"/>
          <w:numId w:val="1010"/>
        </w:numPr>
      </w:pPr>
      <w:r>
        <w:t xml:space="preserve">Hierarchical Bayes posterior samples: NetCDF (via ArviZ), hosted on OSF.</w:t>
      </w:r>
    </w:p>
    <w:bookmarkEnd w:id="65"/>
    <w:bookmarkStart w:id="66" w:name="replicability-commitments"/>
    <w:p>
      <w:pPr>
        <w:pStyle w:val="Heading3"/>
      </w:pPr>
      <w:r>
        <w:t xml:space="preserve">10.3 Replicability commitments</w:t>
      </w:r>
    </w:p>
    <w:p>
      <w:pPr>
        <w:pStyle w:val="Compact"/>
        <w:numPr>
          <w:ilvl w:val="0"/>
          <w:numId w:val="1011"/>
        </w:numPr>
      </w:pPr>
      <w:r>
        <w:t xml:space="preserve">Random seeds for all LLM samplings and Bayesian chains are recorded and released with the data.</w:t>
      </w:r>
    </w:p>
    <w:p>
      <w:pPr>
        <w:pStyle w:val="Compact"/>
        <w:numPr>
          <w:ilvl w:val="0"/>
          <w:numId w:val="1011"/>
        </w:numPr>
      </w:pPr>
      <w:r>
        <w:t xml:space="preserve">A single-command replication script reproduces all primary and supplementary results from the released data and code.</w:t>
      </w:r>
    </w:p>
    <w:p>
      <w:pPr>
        <w:pStyle w:val="Compact"/>
        <w:numPr>
          <w:ilvl w:val="0"/>
          <w:numId w:val="1011"/>
        </w:numPr>
      </w:pPr>
      <w:r>
        <w:t xml:space="preserve">Hardware environment (GPU model, CUDA version, library versions) is documented.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timeline"/>
    <w:p>
      <w:pPr>
        <w:pStyle w:val="Heading2"/>
      </w:pPr>
      <w:r>
        <w:t xml:space="preserve">11. Timeline</w:t>
      </w:r>
    </w:p>
    <w:p>
      <w:pPr>
        <w:pStyle w:val="Compact"/>
        <w:numPr>
          <w:ilvl w:val="0"/>
          <w:numId w:val="1012"/>
        </w:numPr>
      </w:pPr>
      <w:r>
        <w:t xml:space="preserve">T0 (week 0): Pre-registration upload to OSF; theoretical pre-print posted to arXiv.</w:t>
      </w:r>
    </w:p>
    <w:p>
      <w:pPr>
        <w:pStyle w:val="Compact"/>
        <w:numPr>
          <w:ilvl w:val="0"/>
          <w:numId w:val="1012"/>
        </w:numPr>
      </w:pPr>
      <w:r>
        <w:t xml:space="preserve">T0 + 1 week: §4 pilot data collection (Mistral-7B + 10 frames, all conditions).</w:t>
      </w:r>
    </w:p>
    <w:p>
      <w:pPr>
        <w:pStyle w:val="Compact"/>
        <w:numPr>
          <w:ilvl w:val="0"/>
          <w:numId w:val="1012"/>
        </w:numPr>
      </w:pPr>
      <w:r>
        <w:t xml:space="preserve">T0 + 2 weeks: Pilot analysis; pre-registration amendment if needed.</w:t>
      </w:r>
    </w:p>
    <w:p>
      <w:pPr>
        <w:pStyle w:val="Compact"/>
        <w:numPr>
          <w:ilvl w:val="0"/>
          <w:numId w:val="1012"/>
        </w:numPr>
      </w:pPr>
      <w:r>
        <w:t xml:space="preserve">T0 + 3 to 6 weeks: Full data collection across 5 models × 79 frames × 5 conditions × 3 replications.</w:t>
      </w:r>
    </w:p>
    <w:p>
      <w:pPr>
        <w:pStyle w:val="Compact"/>
        <w:numPr>
          <w:ilvl w:val="0"/>
          <w:numId w:val="1012"/>
        </w:numPr>
      </w:pPr>
      <w:r>
        <w:t xml:space="preserve">T0 + 7 weeks: Analysis, manuscript draft.</w:t>
      </w:r>
    </w:p>
    <w:p>
      <w:pPr>
        <w:pStyle w:val="Compact"/>
        <w:numPr>
          <w:ilvl w:val="0"/>
          <w:numId w:val="1012"/>
        </w:numPr>
      </w:pPr>
      <w:r>
        <w:t xml:space="preserve">T0 + 9 weeks: Adversarial review pass.</w:t>
      </w:r>
    </w:p>
    <w:p>
      <w:pPr>
        <w:pStyle w:val="Compact"/>
        <w:numPr>
          <w:ilvl w:val="0"/>
          <w:numId w:val="1012"/>
        </w:numPr>
      </w:pPr>
      <w:r>
        <w:t xml:space="preserve">T0 + 10 weeks: arXiv full paper.</w:t>
      </w:r>
    </w:p>
    <w:p>
      <w:pPr>
        <w:pStyle w:val="Compact"/>
        <w:numPr>
          <w:ilvl w:val="0"/>
          <w:numId w:val="1012"/>
        </w:numPr>
      </w:pPr>
      <w:r>
        <w:t xml:space="preserve">T0 + 12 weeks: Submission to peer-reviewed venue (target: NeurIPS / ICML / Cognition / Psychological Review depending on framing).</w:t>
      </w:r>
    </w:p>
    <w:p>
      <w:r>
        <w:pict>
          <v:rect style="width:0;height:1.5pt" o:hralign="center" o:hrstd="t" o:hr="t"/>
        </w:pict>
      </w:r>
    </w:p>
    <w:bookmarkEnd w:id="68"/>
    <w:bookmarkStart w:id="69" w:name="Xf4a226a153edc0965902478b276d10014e27a06"/>
    <w:p>
      <w:pPr>
        <w:pStyle w:val="Heading2"/>
      </w:pPr>
      <w:r>
        <w:t xml:space="preserve">Appendix A: Theoretical Background (one-paragraph summary for reviewers)</w:t>
      </w:r>
    </w:p>
    <w:p>
      <w:pPr>
        <w:pStyle w:val="FirstParagraph"/>
      </w:pPr>
      <w:r>
        <w:t xml:space="preserve">The active-inference framework defines an optimal policy as the minimizer of expected free energy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over actions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cue counts</w:t>
      </w:r>
      <w:r>
        <w:t xml:space="preserve"> </w:t>
      </w:r>
      <m:oMath>
        <m:r>
          <m:t>k</m:t>
        </m:r>
      </m:oMath>
      <w:r>
        <w:t xml:space="preserve">. Under meta-uncertainty — uncertainty over the precision of one’s own prior, formalized as a Gamma prior on the inverse-variance scalar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— the marginal benefit of an additional cue decomposes into a positive epistemic gain about the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positive meta-cost driven by sharpening of the meta-precision posterior (Lemma 2.4.1). In the high-meta-uncertainty regime</w:t>
      </w:r>
      <w:r>
        <w:t xml:space="preserve"> </w:t>
      </w:r>
      <m:oMath>
        <m:sSubSup>
          <m:e>
            <m:r>
              <m:t>σ</m:t>
            </m:r>
          </m:e>
          <m:sub>
            <m:r>
              <m:t>τ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sSub>
          <m:e>
            <m:r>
              <m:t>τ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</m:sub>
        </m:sSub>
      </m:oMath>
      <w:r>
        <w:t xml:space="preserve">, the meta-cost eventually dominates and additional cues increase expected free energy (Theorem 2.6.1). This predicts a U-shaped accuracy-versus-CoT-length relationship for tasks satisfying meta-uncertainty, in contradiction to the prevailing</w:t>
      </w:r>
      <w:r>
        <w:t xml:space="preserve"> </w:t>
      </w:r>
      <w:r>
        <w:t xml:space="preserve">“more reasoning = better”</w:t>
      </w:r>
      <w:r>
        <w:t xml:space="preserve"> </w:t>
      </w:r>
      <w:r>
        <w:t xml:space="preserve">narrative for LLM reasoning systems. The present study tests the prediction directly.</w:t>
      </w:r>
    </w:p>
    <w:bookmarkEnd w:id="69"/>
    <w:bookmarkStart w:id="70" w:name="X4292b61bfd6d0125cb75bf6040ab88bde9a4255"/>
    <w:p>
      <w:pPr>
        <w:pStyle w:val="Heading2"/>
      </w:pPr>
      <w:r>
        <w:t xml:space="preserve">Appendix B: AsPredicted-Format Summary (alternative submission)</w:t>
      </w:r>
    </w:p>
    <w:p>
      <w:pPr>
        <w:pStyle w:val="FirstParagraph"/>
      </w:pPr>
      <w:r>
        <w:t xml:space="preserve">For users preferring AsPredicted.org’s 9-question format: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Have any data been collected for this study already?</w:t>
      </w:r>
      <w:r>
        <w:t xml:space="preserve"> </w:t>
      </w:r>
      <w:r>
        <w:t xml:space="preserve">No.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What’s the main question being asked?</w:t>
      </w:r>
      <w:r>
        <w:t xml:space="preserve"> </w:t>
      </w:r>
      <w:r>
        <w:t xml:space="preserve">Does additional CoT reasoning degrade LLM accuracy on high-meta-uncertainty items, as predicted by the meta-precision cue-truncation theorem?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Describe the key dependent variable(s) specifying how they will be measured.</w:t>
      </w:r>
      <w:r>
        <w:t xml:space="preserve"> </w:t>
      </w:r>
      <w:r>
        <w:t xml:space="preserve">Binary accuracy of LLM answer against gold standard (or expert-rated coherence for Knightian items). Step count = sentence count in CoT trace meeting the pre-specified inferential criterion.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How many and which conditions will participants be assigned to?</w:t>
      </w:r>
      <w:r>
        <w:t xml:space="preserve"> </w:t>
      </w:r>
      <w:r>
        <w:t xml:space="preserve">5 length-graded CoT conditions × 5 LLMs × 79 items × 3 replications.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Specify exactly which analyses you will conduct.</w:t>
      </w:r>
      <w:r>
        <w:t xml:space="preserve"> </w:t>
      </w:r>
      <w:r>
        <w:t xml:space="preserve">Hierarchical Bayesian logistic regression with steps × regime interaction (eq. 6.1 of the full pre-registration). Posterior probability of the directional interaction.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Describe exactly how outliers will be defined and handled.</w:t>
      </w:r>
      <w:r>
        <w:t xml:space="preserve"> </w:t>
      </w:r>
      <w:r>
        <w:t xml:space="preserve">No outlier exclusion. Refused/malformed responses replaced by additional replications; items with &gt;50% refusal across cells dropped, reported.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How will you determine sample size?</w:t>
      </w:r>
      <w:r>
        <w:t xml:space="preserve"> </w:t>
      </w:r>
      <w:r>
        <w:t xml:space="preserve">Pre-specified: 5,925 observations total; ~3,000 in primary analysis.</w:t>
      </w:r>
      <w:r>
        <w:t xml:space="preserve"> </w:t>
      </w:r>
      <w:r>
        <w:rPr>
          <w:b/>
          <w:bCs/>
        </w:rPr>
        <w:t xml:space="preserve">[AMENDED v0.3]</w:t>
      </w:r>
      <w:r>
        <w:t xml:space="preserve"> </w:t>
      </w:r>
      <w:r>
        <w:t xml:space="preserve">Simulation-based power (not the withdrawn normal-approximation 0.92): ≈0.90 to confirm a large reversal (~20 pp), ≈0.47 for a modest one (~10 pp), Type I = 0; the study is powered for the substantive effect the theory predicts (see §4.1).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Anything else you would like to pre-register?</w:t>
      </w:r>
      <w:r>
        <w:t xml:space="preserve"> </w:t>
      </w:r>
      <w:r>
        <w:t xml:space="preserve">Three confound controls (prompt sensitivity, aleatory, calibration baselines), all reported regardless of primary result. Five robustness checks. Falsification criteria explicit.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Manuscript ID / Project name:</w:t>
      </w:r>
      <w:r>
        <w:t xml:space="preserve"> </w:t>
      </w:r>
      <w:r>
        <w:t xml:space="preserve">FEH-2026 — Free Energy Heuristics: Empirical Test of the Cue-Truncation Theorem.</w:t>
      </w:r>
    </w:p>
    <w:bookmarkEnd w:id="70"/>
    <w:bookmarkStart w:id="75" w:name="Xee67c8f711c21dcf7976888a4aa0fef2e9f15e7"/>
    <w:p>
      <w:pPr>
        <w:pStyle w:val="Heading2"/>
      </w:pPr>
      <w:r>
        <w:t xml:space="preserve">Appendix C: Pre-Registration Status (2026-05-14)</w:t>
      </w:r>
    </w:p>
    <w:bookmarkStart w:id="71" w:name="resolved-before-submission"/>
    <w:p>
      <w:pPr>
        <w:pStyle w:val="Heading3"/>
      </w:pPr>
      <w:r>
        <w:t xml:space="preserve">Resolved before submission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PI / affiliation:</w:t>
      </w:r>
      <w:r>
        <w:t xml:space="preserve"> </w:t>
      </w:r>
      <w:r>
        <w:t xml:space="preserve">Alex Bogdan, EvolutionAIry AI Inc. (Toronto, Canada). Sole investigator on this study.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Item pool:</w:t>
      </w:r>
      <w:r>
        <w:t xml:space="preserve"> </w:t>
      </w:r>
      <w:r>
        <w:t xml:space="preserve">Finalized as</w:t>
      </w:r>
      <w:r>
        <w:t xml:space="preserve"> </w:t>
      </w:r>
      <w:r>
        <w:rPr>
          <w:b/>
          <w:bCs/>
        </w:rPr>
        <w:t xml:space="preserve">FEH-79 pool v0.3</w:t>
      </w:r>
      <w:r>
        <w:t xml:space="preserve"> </w:t>
      </w:r>
      <w:r>
        <w:t xml:space="preserve">(</w:t>
      </w:r>
      <w:r>
        <w:rPr>
          <w:rStyle w:val="VerbatimChar"/>
        </w:rPr>
        <w:t xml:space="preserve">feh79_item_pool_v0.3.yaml</w:t>
      </w:r>
      <w:r>
        <w:t xml:space="preserve">), 141 total items: 79 Knightian (K1×20 non-recurrent forecasting + K2×20 novel-synthetic + K3×20 open-ended dilemma + K4×19 strategic uncertainty) + 50 controls (R×10 reference + A×10 aleatory + CB×30 calibration probe) + 12 R-arithmetic-calibration items (R-101..R-112; 4 difficulty bands × 3 items, added 2026-05-14 per §4.9.4 pilot finding; reported separately as a per-model competence curve,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enter the H1 confirmatory test). Pool validated by K2 cross-model multi-seed pre-screen (4-provider × 5-seed; 36/36 categorical Knightian items pass) and K3 google-floor check (15 K3-pass-clean + 4 K3-pass-marginal + 0 K3-fail-contaminated; one item — K2-015 — flagged contamination_risk medium per pool-metadata note). Validation records:</w:t>
      </w:r>
      <w:r>
        <w:t xml:space="preserve"> </w:t>
      </w:r>
      <w:r>
        <w:rPr>
          <w:rStyle w:val="VerbatimChar"/>
        </w:rPr>
        <w:t xml:space="preserve">Experiments/cross_model_results_v0.3_validation.json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Experiments/k3_floor_results_v0.3.json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Hardware environment:</w:t>
      </w:r>
      <w:r>
        <w:t xml:space="preserve"> </w:t>
      </w:r>
      <w:r>
        <w:t xml:space="preserve">Pilot and full study run on a single workstation: NVIDIA RTX 4070 Super (12 GB VRAM), Windows 11 Home, CUDA 12.x, Ollama runtime (Mistral-7B-Instruct quantized to Q4_K_M for the pilot; full-run model panel served via Ollama or vLLM as documented per-model in the released config).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Bibliography:</w:t>
      </w:r>
      <w:r>
        <w:t xml:space="preserve"> </w:t>
      </w:r>
      <w:r>
        <w:t xml:space="preserve">Consolidated to</w:t>
      </w:r>
      <w:r>
        <w:t xml:space="preserve"> </w:t>
      </w:r>
      <w:r>
        <w:rPr>
          <w:rStyle w:val="VerbatimChar"/>
        </w:rPr>
        <w:t xml:space="preserve">bibliography.md</w:t>
      </w:r>
      <w:r>
        <w:t xml:space="preserve"> </w:t>
      </w:r>
      <w:r>
        <w:t xml:space="preserve">covering §§1–4; ~38 entries, author-year style.</w:t>
      </w:r>
    </w:p>
    <w:bookmarkEnd w:id="71"/>
    <w:bookmarkStart w:id="72" w:name="X4331b5192fd6418bb6f21ebfb60ce984ca9dc64"/>
    <w:p>
      <w:pPr>
        <w:pStyle w:val="Heading3"/>
      </w:pPr>
      <w:r>
        <w:t xml:space="preserve">To be inserted at submission time (do not block OSF upload)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Theoretical pre-print arXiv DOI</w:t>
      </w:r>
      <w:r>
        <w:t xml:space="preserve"> </w:t>
      </w:r>
      <w:r>
        <w:t xml:space="preserve">— Chapter 2 not yet posted to arXiv. The pre-registration may reference this study without the DOI; the DOI will be inserted into the header upon arXiv posting (anticipated before full-run start).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GitHub repository URL</w:t>
      </w:r>
      <w:r>
        <w:t xml:space="preserve"> </w:t>
      </w:r>
      <w:r>
        <w:t xml:space="preserve">— Repository to be created at first commit of the data-collection code. The pre-registration commits to MIT-licensed release at manuscript submission with immutable git tag</w:t>
      </w:r>
      <w:r>
        <w:t xml:space="preserve"> </w:t>
      </w:r>
      <w:r>
        <w:rPr>
          <w:rStyle w:val="VerbatimChar"/>
        </w:rPr>
        <w:t xml:space="preserve">v1.0</w:t>
      </w:r>
      <w:r>
        <w:t xml:space="preserve"> </w:t>
      </w:r>
      <w:r>
        <w:t xml:space="preserve">(per §10.1).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OSF project URL</w:t>
      </w:r>
      <w:r>
        <w:t xml:space="preserve"> </w:t>
      </w:r>
      <w:r>
        <w:t xml:space="preserve">— Auto-generated by OSF at submission time and self-referential.</w:t>
      </w:r>
    </w:p>
    <w:bookmarkEnd w:id="72"/>
    <w:bookmarkStart w:id="73" w:name="Xde422ac43c843d746f8f02f30b2d1fd742a21c8"/>
    <w:p>
      <w:pPr>
        <w:pStyle w:val="Heading3"/>
      </w:pPr>
      <w:r>
        <w:t xml:space="preserve">To be completed during the pilot (per §4.9.2 P2, not before submission)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Step-counting pipeline κ-validation (heuristic vs LLM-judge)</w:t>
      </w:r>
      <w:r>
        <w:t xml:space="preserve"> </w:t>
      </w:r>
      <w:r>
        <w:t xml:space="preserve">— ✅</w:t>
      </w:r>
      <w:r>
        <w:t xml:space="preserve"> </w:t>
      </w:r>
      <w:r>
        <w:rPr>
          <w:b/>
          <w:bCs/>
        </w:rPr>
        <w:t xml:space="preserve">completed 2026-05-14.</w:t>
      </w:r>
      <w:r>
        <w:t xml:space="preserve"> </w:t>
      </w:r>
      <w:r>
        <w:t xml:space="preserve">The §4.9 pilot generated 150 responses (Mistral-7B × 10 frames × 5 conditions × 3 replications). The fast heuristic step-counter (Pass-1 baseline of</w:t>
      </w:r>
      <w:r>
        <w:t xml:space="preserve"> </w:t>
      </w:r>
      <w:r>
        <w:rPr>
          <w:rStyle w:val="VerbatimChar"/>
        </w:rPr>
        <w:t xml:space="preserve">step_counter.py</w:t>
      </w:r>
      <w:r>
        <w:t xml:space="preserve">) was validated against the LLM-judge (Pass-2 primary; Claude</w:t>
      </w:r>
      <w:r>
        <w:t xml:space="preserve"> </w:t>
      </w:r>
      <w:r>
        <w:rPr>
          <w:rStyle w:val="VerbatimChar"/>
        </w:rPr>
        <w:t xml:space="preserve">claude-sonnet-4-5-20250929</w:t>
      </w:r>
      <w:r>
        <w:t xml:space="preserve">) on a 539-sentence stratified subsample drawn from the rep=1 cells of the pilot. Result:</w:t>
      </w:r>
      <w:r>
        <w:t xml:space="preserve"> </w:t>
      </w:r>
      <w:r>
        <w:rPr>
          <w:b/>
          <w:bCs/>
        </w:rPr>
        <w:t xml:space="preserve">Cohen’s κ = +0.802</w:t>
      </w:r>
      <w:r>
        <w:t xml:space="preserve"> </w:t>
      </w:r>
      <w:r>
        <w:t xml:space="preserve">vs threshold 0.70 (raw agreement 91.5%; n = 539; 0 judging errors). Per-condition κ ranges 0.61–0.92 for C2–C5; C1 has only 10 sentences and is uninformative. See</w:t>
      </w:r>
      <w:r>
        <w:t xml:space="preserve"> </w:t>
      </w:r>
      <w:r>
        <w:rPr>
          <w:rStyle w:val="VerbatimChar"/>
        </w:rPr>
        <w:t xml:space="preserve">Experiments/step_counter_kappa.py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Experiments/kappa_validation.{json,md}</w:t>
      </w:r>
      <w:r>
        <w:t xml:space="preserve">. The heuristic is now validated as the Pass-1 step-counter for the full study; the LLM-judge remains the §4.8.2 primary measurement on a per-cell sub-sample.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Human-coded step-counter validation</w:t>
      </w:r>
      <w:r>
        <w:t xml:space="preserve"> </w:t>
      </w:r>
      <w:r>
        <w:t xml:space="preserve">— Planned for §4.10 Phase 5 (annotation rubric validation). 100-response subsample (20 per condition), 2 trained annotators, threshold κ ≥ 0.7 against the LLM-judge. Not a precondition for full data collection (the heuristic-vs-LLM-judge κ above is the operational gate).</w:t>
      </w:r>
    </w:p>
    <w:bookmarkEnd w:id="73"/>
    <w:bookmarkStart w:id="74" w:name="Xf6e28bd2913a5ead3638999b2341522621f298d"/>
    <w:p>
      <w:pPr>
        <w:pStyle w:val="Heading3"/>
      </w:pPr>
      <w:r>
        <w:t xml:space="preserve">Completed before full data collection (Amendment 1, 2026-05-29)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Confirmatory analysis pipeline implemented and validated.</w:t>
      </w:r>
      <w:r>
        <w:t xml:space="preserve"> </w:t>
      </w:r>
      <w:r>
        <w:t xml:space="preserve">Eq. 6.1 implemented in</w:t>
      </w:r>
      <w:r>
        <w:t xml:space="preserve"> </w:t>
      </w:r>
      <w:r>
        <w:rPr>
          <w:rStyle w:val="VerbatimChar"/>
        </w:rPr>
        <w:t xml:space="preserve">Experiments/confirmatory_analysis.py</w:t>
      </w:r>
      <w:r>
        <w:t xml:space="preserve">; validated by synthetic parameter recovery and simulation-based operating characteristics (</w:t>
      </w:r>
      <w:r>
        <w:rPr>
          <w:rStyle w:val="VerbatimChar"/>
        </w:rPr>
        <w:t xml:space="preserve">validate_analysis.py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analysis_validation.md</w:t>
      </w:r>
      <w:r>
        <w:t xml:space="preserve">): clean convergence (R̂ = 1.000, ESS 1.6k–2.0k), 95% CrIs cover the true β3 in all scenarios, false-confirmation rate 0/30 under the null.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Power analysis upgraded and gate amended (pre-data).</w:t>
      </w:r>
      <w:r>
        <w:t xml:space="preserve"> </w:t>
      </w:r>
      <w:r>
        <w:t xml:space="preserve">The original §6.2 full-reversal gate had ~7% power at the target effect and the §4.1 normal-approximation (0.92) was unreliable. Amendment 1 (</w:t>
      </w:r>
      <w:r>
        <w:rPr>
          <w:rStyle w:val="VerbatimChar"/>
        </w:rPr>
        <w:t xml:space="preserve">Preregistration_amendment_1_2026-05-29.md</w:t>
      </w:r>
      <w:r>
        <w:t xml:space="preserve">) reformulates the primary test to directional + robust magnitude floor (power ≈0.90 large / 0.47 modest, Type I 0;</w:t>
      </w:r>
      <w:r>
        <w:t xml:space="preserve"> </w:t>
      </w:r>
      <w:r>
        <w:rPr>
          <w:rStyle w:val="VerbatimChar"/>
        </w:rPr>
        <w:t xml:space="preserve">power_curve.md</w:t>
      </w:r>
      <w:r>
        <w:t xml:space="preserve">), demotes the full-reversal requirement to a reported effect size, and adds robustness check R6. A sweep confirmed more items do not raise power (</w:t>
      </w:r>
      <w:r>
        <w:rPr>
          <w:rStyle w:val="VerbatimChar"/>
        </w:rPr>
        <w:t xml:space="preserve">design_sweep.md</w:t>
      </w:r>
      <w:r>
        <w:t xml:space="preserve">). Filed before any confirmatory data collection, permitted under §9.1.</w:t>
      </w:r>
    </w:p>
    <w:bookmarkEnd w:id="74"/>
    <w:bookmarkEnd w:id="75"/>
    <w:bookmarkEnd w:id="76"/>
    <w:sectPr w:rsidR="001D5E3B">
      <w:headerReference r:id="rId7" w:type="default"/>
      <w:footerReference r:id="rId8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74EC5" w14:textId="77777777" w:rsidR="00BD2BF4" w:rsidRDefault="009D6DB9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2748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2748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342C5" w14:textId="77777777" w:rsidR="00BD2BF4" w:rsidRDefault="009D6DB9">
    <w:pPr>
      <w:jc w:val="right"/>
    </w:pPr>
    <w:r>
      <w:rPr>
        <w:i/>
        <w:iCs/>
        <w:color w:val="888888"/>
        <w:sz w:val="18"/>
        <w:szCs w:val="18"/>
      </w:rPr>
      <w:t>FEH — Theoretical Foundation — Draft v0.3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18E549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43C4237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67E46DA8"/>
    <w:multiLevelType w:val="hybridMultilevel"/>
    <w:tmpl w:val="2C8EC334"/>
    <w:lvl w:ilvl="0" w:tplc="49907154">
      <w:start w:val="1"/>
      <w:numFmt w:val="bullet"/>
      <w:lvlText w:val="●"/>
      <w:lvlJc w:val="left"/>
      <w:pPr>
        <w:ind w:hanging="360" w:left="720"/>
      </w:pPr>
    </w:lvl>
    <w:lvl w:ilvl="1" w:tplc="0DDC1846">
      <w:start w:val="1"/>
      <w:numFmt w:val="bullet"/>
      <w:lvlText w:val="○"/>
      <w:lvlJc w:val="left"/>
      <w:pPr>
        <w:ind w:hanging="360" w:left="1440"/>
      </w:pPr>
    </w:lvl>
    <w:lvl w:ilvl="2" w:tplc="76FAE582">
      <w:start w:val="1"/>
      <w:numFmt w:val="bullet"/>
      <w:lvlText w:val="■"/>
      <w:lvlJc w:val="left"/>
      <w:pPr>
        <w:ind w:hanging="360" w:left="2160"/>
      </w:pPr>
    </w:lvl>
    <w:lvl w:ilvl="3" w:tplc="3802290E">
      <w:start w:val="1"/>
      <w:numFmt w:val="bullet"/>
      <w:lvlText w:val="●"/>
      <w:lvlJc w:val="left"/>
      <w:pPr>
        <w:ind w:hanging="360" w:left="2880"/>
      </w:pPr>
    </w:lvl>
    <w:lvl w:ilvl="4" w:tplc="6CC2CD62">
      <w:start w:val="1"/>
      <w:numFmt w:val="bullet"/>
      <w:lvlText w:val="○"/>
      <w:lvlJc w:val="left"/>
      <w:pPr>
        <w:ind w:hanging="360" w:left="3600"/>
      </w:pPr>
    </w:lvl>
    <w:lvl w:ilvl="5" w:tplc="DEA850CA">
      <w:start w:val="1"/>
      <w:numFmt w:val="bullet"/>
      <w:lvlText w:val="■"/>
      <w:lvlJc w:val="left"/>
      <w:pPr>
        <w:ind w:hanging="360" w:left="4320"/>
      </w:pPr>
    </w:lvl>
    <w:lvl w:ilvl="6" w:tplc="DA14DBAA">
      <w:start w:val="1"/>
      <w:numFmt w:val="bullet"/>
      <w:lvlText w:val="●"/>
      <w:lvlJc w:val="left"/>
      <w:pPr>
        <w:ind w:hanging="360" w:left="5040"/>
      </w:pPr>
    </w:lvl>
    <w:lvl w:ilvl="7" w:tplc="B0AEAD46">
      <w:start w:val="1"/>
      <w:numFmt w:val="bullet"/>
      <w:lvlText w:val="●"/>
      <w:lvlJc w:val="left"/>
      <w:pPr>
        <w:ind w:hanging="360" w:left="5760"/>
      </w:pPr>
    </w:lvl>
    <w:lvl w:ilvl="8" w:tplc="FDF89E8A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16cid:durableId="297805145" w:numId="1">
    <w:abstractNumId w:val="2"/>
    <w:lvlOverride w:ilvl="0">
      <w:startOverride w:val="1"/>
    </w:lvlOverride>
  </w:num>
  <w:num w16cid:durableId="797064641" w:numId="2">
    <w:abstractNumId w:val="0"/>
  </w:num>
  <w:num w16cid:durableId="2054452401" w:numId="3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3"/>
  </w:num>
  <w:num w:numId="1019">
    <w:abstractNumId w:val="992"/>
  </w:num>
  <w:num w:numId="1020">
    <w:abstractNumId w:val="993"/>
  </w:num>
  <w:num w:numId="1021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displayBackgroundShape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BF4"/>
    <w:rsid w:val="00022AC0"/>
    <w:rsid w:val="000E6250"/>
    <w:rsid w:val="001D5E3B"/>
    <w:rsid w:val="00221E66"/>
    <w:rsid w:val="0024514F"/>
    <w:rsid w:val="00246ECE"/>
    <w:rsid w:val="0026152C"/>
    <w:rsid w:val="002627D3"/>
    <w:rsid w:val="0031487F"/>
    <w:rsid w:val="003612AF"/>
    <w:rsid w:val="00431BAB"/>
    <w:rsid w:val="004627F2"/>
    <w:rsid w:val="00603017"/>
    <w:rsid w:val="006529FA"/>
    <w:rsid w:val="00777D6C"/>
    <w:rsid w:val="007D5C92"/>
    <w:rsid w:val="00827483"/>
    <w:rsid w:val="008C5BE1"/>
    <w:rsid w:val="00926775"/>
    <w:rsid w:val="00996731"/>
    <w:rsid w:val="009D09C6"/>
    <w:rsid w:val="009D6DB9"/>
    <w:rsid w:val="00A21DD8"/>
    <w:rsid w:val="00A366F1"/>
    <w:rsid w:val="00A67FF8"/>
    <w:rsid w:val="00AB605E"/>
    <w:rsid w:val="00AE5C8B"/>
    <w:rsid w:val="00B61CF6"/>
    <w:rsid w:val="00BD2BF4"/>
    <w:rsid w:val="00C868C6"/>
    <w:rsid w:val="00CA5FCF"/>
    <w:rsid w:val="00CC1220"/>
    <w:rsid w:val="00CD1211"/>
    <w:rsid w:val="00CF12B4"/>
    <w:rsid w:val="00E0416C"/>
    <w:rsid w:val="00E367FE"/>
    <w:rsid w:val="00E9323A"/>
    <w:rsid w:val="00F27D38"/>
    <w:rsid w:val="00F41F41"/>
    <w:rsid w:val="00F65C12"/>
    <w:rsid w:val="00FE03A3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bidi="ar-SA" w:eastAsia="en-CA" w:val="en-CA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uiPriority w:val="9"/>
    <w:qFormat/>
    <w:pPr>
      <w:spacing w:after="200" w:before="360"/>
      <w:outlineLvl w:val="0"/>
    </w:pPr>
    <w:rPr>
      <w:b/>
      <w:bCs/>
      <w:color w:val="1F4E79"/>
      <w:sz w:val="32"/>
      <w:szCs w:val="32"/>
    </w:rPr>
  </w:style>
  <w:style w:styleId="Heading2" w:type="paragraph">
    <w:name w:val="heading 2"/>
    <w:uiPriority w:val="9"/>
    <w:unhideWhenUsed/>
    <w:qFormat/>
    <w:pPr>
      <w:spacing w:after="160" w:before="280"/>
      <w:outlineLvl w:val="1"/>
    </w:pPr>
    <w:rPr>
      <w:b/>
      <w:bCs/>
      <w:color w:val="2E75B6"/>
      <w:sz w:val="28"/>
      <w:szCs w:val="28"/>
    </w:rPr>
  </w:style>
  <w:style w:styleId="Heading3" w:type="paragraph">
    <w:name w:val="heading 3"/>
    <w:uiPriority w:val="9"/>
    <w:unhideWhenUsed/>
    <w:qFormat/>
    <w:pPr>
      <w:spacing w:after="120" w:before="200"/>
      <w:outlineLvl w:val="2"/>
    </w:pPr>
    <w:rPr>
      <w:b/>
      <w:bCs/>
      <w:i/>
      <w:iCs/>
      <w:color w:val="404040"/>
      <w:sz w:val="24"/>
      <w:szCs w:val="24"/>
    </w:rPr>
  </w:style>
  <w:style w:styleId="Heading4" w:type="paragraph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styleId="Heading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uiPriority w:val="10"/>
    <w:qFormat/>
    <w:rPr>
      <w:sz w:val="56"/>
      <w:szCs w:val="56"/>
    </w:rPr>
  </w:style>
  <w:style w:customStyle="1" w:styleId="Strong1" w:type="paragraph">
    <w:name w:val="Strong1"/>
    <w:qFormat/>
    <w:rPr>
      <w:b/>
      <w:bCs/>
    </w:rPr>
  </w:style>
  <w:style w:styleId="ListParagraph" w:type="paragraph">
    <w:name w:val="List Paragraph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  <w:rPr>
      <w:sz w:val="20"/>
      <w:szCs w:val="20"/>
    </w:r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link w:val="EndnoteTextChar"/>
    <w:uiPriority w:val="99"/>
    <w:semiHidden/>
    <w:unhideWhenUsed/>
    <w:rPr>
      <w:sz w:val="20"/>
      <w:szCs w:val="20"/>
    </w:rPr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  <w:style w:styleId="PlaceholderText" w:type="character">
    <w:name w:val="Placeholder Text"/>
    <w:basedOn w:val="DefaultParagraphFont"/>
    <w:uiPriority w:val="99"/>
    <w:semiHidden/>
    <w:rsid w:val="0031487F"/>
    <w:rPr>
      <w:color w:val="666666"/>
    </w:r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8167</Words>
  <Characters>48431</Characters>
  <Application>Microsoft Office Word</Application>
  <DocSecurity>0</DocSecurity>
  <Lines>722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Free Energy Heuristics — Theoretical Foundation Draft v0.3</vt:lpstr>
    </vt:vector>
  </TitlesOfParts>
  <Company/>
  <LinksUpToDate>false</LinksUpToDate>
  <CharactersWithSpaces>56321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2026-05-29T19:43:12Z</dcterms:created>
  <dcterms:modified xsi:type="dcterms:W3CDTF">2026-05-29T19:43:12Z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