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c08ed7b7c638cda0181aad0afb32cd21d6c5b60"/>
    <w:p>
      <w:pPr>
        <w:pStyle w:val="Heading1"/>
      </w:pPr>
      <w:r>
        <w:t xml:space="preserve">Pre-Registration: Free Energy Heuristics Full Empirical Study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Chain-of-Thought Reasoning Degrades LLM Accuracy Under Knightian Uncertainty: A Confirmatory Test of the Meta-Precision Cue-Truncation Theorem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Alex Bogdan (EvolutionAIry AI Inc., Toronto, Canada). Affiliation independent.</w:t>
      </w:r>
    </w:p>
    <w:p>
      <w:pPr>
        <w:pStyle w:val="BodyText"/>
      </w:pPr>
      <w:r>
        <w:rPr>
          <w:b/>
          <w:bCs/>
        </w:rPr>
        <w:t xml:space="preserve">Theoretical pre-print:</w:t>
      </w:r>
      <w:r>
        <w:t xml:space="preserve"> </w:t>
      </w:r>
      <w:r>
        <w:t xml:space="preserve">Chapter 2 (FEH Theoretical Foundation, Working Draft v0.7) and Chapter 3 (FEH Operationalization, Working Draft v0.1) — to be posted to arXiv prior to data collection and cited by DOI in this pre-registration.</w:t>
      </w:r>
    </w:p>
    <w:p>
      <w:pPr>
        <w:pStyle w:val="BodyText"/>
      </w:pPr>
      <w:r>
        <w:rPr>
          <w:b/>
          <w:bCs/>
        </w:rPr>
        <w:t xml:space="preserve">Pre-registration platform:</w:t>
      </w:r>
      <w:r>
        <w:t xml:space="preserve"> </w:t>
      </w:r>
      <w:r>
        <w:t xml:space="preserve">OSF Pre-registration (https://osf.io/prereg). AsPredicted format included as Appendix B for users who prefer the lighter-weight registry.</w:t>
      </w:r>
    </w:p>
    <w:p>
      <w:pPr>
        <w:pStyle w:val="BodyText"/>
      </w:pPr>
      <w:r>
        <w:rPr>
          <w:b/>
          <w:bCs/>
        </w:rPr>
        <w:t xml:space="preserve">Submission status:</w:t>
      </w:r>
      <w:r>
        <w:t xml:space="preserve"> </w:t>
      </w:r>
      <w:r>
        <w:t xml:space="preserve">v0.4 working copy (2026-05-30), incorporating</w:t>
      </w:r>
      <w:r>
        <w:t xml:space="preserve"> </w:t>
      </w:r>
      <w:r>
        <w:rPr>
          <w:b/>
          <w:bCs/>
        </w:rPr>
        <w:t xml:space="preserve">Amendment 1</w:t>
      </w:r>
      <w:r>
        <w:t xml:space="preserve"> </w:t>
      </w:r>
      <w:r>
        <w:t xml:space="preserve">(2026-05-29) and</w:t>
      </w:r>
      <w:r>
        <w:t xml:space="preserve"> </w:t>
      </w:r>
      <w:r>
        <w:rPr>
          <w:b/>
          <w:bCs/>
        </w:rPr>
        <w:t xml:space="preserve">Amendment 2</w:t>
      </w:r>
      <w:r>
        <w:t xml:space="preserve"> </w:t>
      </w:r>
      <w:r>
        <w:t xml:space="preserve">(2026-05-30) and the pre-data panel/replication design decision (2026-05-30) into the registered v0.2 (OSF 2026-05-14, osf.io/9dvzb). Item pool finalized at FEH-79</w:t>
      </w:r>
      <w:r>
        <w:t xml:space="preserve"> </w:t>
      </w:r>
      <w:r>
        <w:rPr>
          <w:b/>
          <w:bCs/>
        </w:rPr>
        <w:t xml:space="preserve">v0.4</w:t>
      </w:r>
      <w:r>
        <w:t xml:space="preserve"> </w:t>
      </w:r>
      <w:r>
        <w:t xml:space="preserve">(K2-validated, K3-validated; v0.4 repairs 8 previously un-scorable items, changing no registered item’s meaning). Hardware environment documented. Outstanding placeholders limited to arXiv DOI + GitHub URL.</w:t>
      </w:r>
    </w:p>
    <w:p>
      <w:pPr>
        <w:pStyle w:val="BlockText"/>
      </w:pPr>
      <w:r>
        <w:rPr>
          <w:b/>
          <w:bCs/>
        </w:rPr>
        <w:t xml:space="preserve">Changelog — Amendment 1 (2026-05-29, pre-data; permitted under §9.1).</w:t>
      </w:r>
      <w:r>
        <w:t xml:space="preserve"> </w:t>
      </w:r>
      <w:r>
        <w:t xml:space="preserve">Following implementation and simulation-based validation of the eq. 6.1 pipeline (before any confirmatory data collection), the primary inference statistic (§6.2), confirmation/falsification criteria (§7.1–7.2), primary hypothesis statement (§2.1), and power analysis (§4.1) were revised, and robustness check R6 was added (§6.4). The full-reversal requirement |β3|&gt;|β1| is demoted from a gating criterion to a reported effect size; the primary test becomes directional (Pr(β3&lt;0)&gt;0.95) with a robust magnitude floor. Rationale and evidence:</w:t>
      </w:r>
      <w:r>
        <w:t xml:space="preserve"> </w:t>
      </w:r>
      <w:r>
        <w:rPr>
          <w:rStyle w:val="VerbatimChar"/>
        </w:rPr>
        <w:t xml:space="preserve">Preregistration_amendment_1_2026-05-29.md</w:t>
      </w:r>
      <w:r>
        <w:t xml:space="preserve"> </w:t>
      </w:r>
      <w:r>
        <w:t xml:space="preserve">and the simulation reports (</w:t>
      </w:r>
      <w:r>
        <w:rPr>
          <w:rStyle w:val="VerbatimChar"/>
        </w:rPr>
        <w:t xml:space="preserve">analysis_validation.md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power_curve.md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design_sweep.md</w:t>
      </w:r>
      <w:r>
        <w:t xml:space="preserve">). The registered v0.2 remains the immutable record; this consolidated working copy is used by the manuscript. Amended passages are tagged</w:t>
      </w:r>
      <w:r>
        <w:t xml:space="preserve"> </w:t>
      </w:r>
      <w:r>
        <w:rPr>
          <w:b/>
          <w:bCs/>
        </w:rPr>
        <w:t xml:space="preserve">[AMENDED v0.3]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Changelog — Amendment 2 (2026-05-30, pre-data; permitted under §9.1).</w:t>
      </w:r>
      <w:r>
        <w:t xml:space="preserve"> </w:t>
      </w:r>
      <w:r>
        <w:t xml:space="preserve">Following a separate pre-registered feasibility/calibration study (</w:t>
      </w:r>
      <w:r>
        <w:rPr>
          <w:rStyle w:val="VerbatimChar"/>
        </w:rPr>
        <w:t xml:space="preserve">Calibration_protocol.md</w:t>
      </w:r>
      <w:r>
        <w:t xml:space="preserve">; 3 local models × 28 objectively-scorable Knightian items + 14 controls × 5 conditions × 3 reps) run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confirmatory data collection, the</w:t>
      </w:r>
      <w:r>
        <w:t xml:space="preserve"> </w:t>
      </w:r>
      <w:r>
        <w:rPr>
          <w:b/>
          <w:bCs/>
        </w:rPr>
        <w:t xml:space="preserve">primary reasoning-length regressor</w:t>
      </w:r>
      <w:r>
        <w:t xml:space="preserve"> </w:t>
      </w:r>
      <w:r>
        <w:t xml:space="preserve">is changed from the realized step count (endogenous; its within-model standardization can invert the interaction sign; linear-in-steps is the wrong form for a threshold effect) to the</w:t>
      </w:r>
      <w:r>
        <w:t xml:space="preserve"> </w:t>
      </w:r>
      <w:r>
        <w:rPr>
          <w:b/>
          <w:bCs/>
        </w:rPr>
        <w:t xml:space="preserve">assigned-length intention-to-treat factor</w:t>
      </w:r>
      <w:r>
        <w:t xml:space="preserve"> </w:t>
      </w:r>
      <w:r>
        <w:rPr>
          <w:rStyle w:val="VerbatimChar"/>
        </w:rPr>
        <w:t xml:space="preserve">long ∈ {0,1}</w:t>
      </w:r>
      <w:r>
        <w:t xml:space="preserve"> </w:t>
      </w:r>
      <w:r>
        <w:t xml:space="preserve">(short = C1; long = C2–C5). This changes the primary regressor (§5.2), the primary model to eq. 6.1′ on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(§6.1), the controls framing (§5.3), and the power analysis to a simulation calibrated to the measured effect (§4.1); it adds robustness check</w:t>
      </w:r>
      <w:r>
        <w:t xml:space="preserve"> </w:t>
      </w:r>
      <w:r>
        <w:rPr>
          <w:b/>
          <w:bCs/>
        </w:rPr>
        <w:t xml:space="preserve">R7</w:t>
      </w:r>
      <w:r>
        <w:t xml:space="preserve"> </w:t>
      </w:r>
      <w:r>
        <w:t xml:space="preserve">(realized-steps IV/mediation, which retains the old eq. 6.1 as a secondary analysis) and re-attaches R1/R5 to R7 (§6.4). The Amendment-1 decision-gate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(§6.2/§7.1–7.2) is retained verbatim and re-targeted to the β3 of eq. 6.1′. Rationale and evidence:</w:t>
      </w:r>
      <w:r>
        <w:t xml:space="preserve"> </w:t>
      </w:r>
      <w:r>
        <w:rPr>
          <w:rStyle w:val="VerbatimChar"/>
        </w:rPr>
        <w:t xml:space="preserve">Preregistration_amendment_2_2026-05-30.md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calibration_analysis.md</w:t>
      </w:r>
      <w:r>
        <w:t xml:space="preserve">, and the diagnostic scripts. Amended passages are tagged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Changelog — Panel/replication design decision (2026-05-30, pre-data; permitted under §9.1).</w:t>
      </w:r>
      <w:r>
        <w:t xml:space="preserve"> </w:t>
      </w:r>
      <w:r>
        <w:t xml:space="preserve">Following a frontier feasibility read (</w:t>
      </w:r>
      <w:r>
        <w:rPr>
          <w:rStyle w:val="VerbatimChar"/>
        </w:rPr>
        <w:t xml:space="preserve">frontier_read_analysis.md</w:t>
      </w:r>
      <w:r>
        <w:t xml:space="preserve">; Claude Sonnet 4.5 + GPT-4o on the calibration design) that showed H1 holds</w:t>
      </w:r>
      <w:r>
        <w:t xml:space="preserve"> </w:t>
      </w:r>
      <w:r>
        <w:rPr>
          <w:i/>
          <w:iCs/>
        </w:rPr>
        <w:t xml:space="preserve">off the small-model floor</w:t>
      </w:r>
      <w:r>
        <w:t xml:space="preserve"> </w:t>
      </w:r>
      <w:r>
        <w:t xml:space="preserve">(pooled assigned short→long high-regime cbd-correctness drop +10.4 pp [+2.1, +18.8]; difference-in-differences +9.2 pp [+0.9, +17.9]; GPT-4o floored on only 3/28 high items vs the local panel’s heavy flooring), the model panel is expanded from 5 local to</w:t>
      </w:r>
      <w:r>
        <w:t xml:space="preserve"> </w:t>
      </w:r>
      <w:r>
        <w:rPr>
          <w:b/>
          <w:bCs/>
        </w:rPr>
        <w:t xml:space="preserve">5 local + 2 frontier (7 models)</w:t>
      </w:r>
      <w:r>
        <w:t xml:space="preserve"> </w:t>
      </w:r>
      <w:r>
        <w:t xml:space="preserve">and replications from 3 to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per cell. Rationale: frontier models are the actual target of the o1/o3 reasoning-scaling counter-narrative and exhibit the effect more cleanly; 5 reps powers per-model confirmation and the conservative ~7 pp scenario. The 5-local panel is retained as the registered minimum/fallback. Affects §3.3, §3.5, §4.1, §4.4. Amended passages are tagged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. A LaTeX-robust numeric-scoring correction to the analysis code (frontier models format fractions as LaTeX under CoT; the registered parser otherwise mis-scores them by condition) is documented in Appendix C; a residual rounding-precision hardening of the scorer is pending before confirmatory collection.</w:t>
      </w:r>
    </w:p>
    <w:p>
      <w:r>
        <w:pict>
          <v:rect style="width:0;height:1.5pt" o:hralign="center" o:hrstd="t" o:hr="t"/>
        </w:pict>
      </w:r>
    </w:p>
    <w:bookmarkStart w:id="12" w:name="study-information"/>
    <w:p>
      <w:pPr>
        <w:pStyle w:val="Heading2"/>
      </w:pPr>
      <w:r>
        <w:t xml:space="preserve">1. Study Information</w:t>
      </w:r>
    </w:p>
    <w:bookmarkStart w:id="9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active-inference framework (Friston and colleagues) and the ecological-rationality framework (Gigerenzer and the ABC research group) make apparently incompatible predictions about when additional inference helps versus hurts decision quality. Chapter 2 of the accompanying theoretical pre-print derives a unification: under meta-uncertainty over prior precision (σ²_τ ≥ τ_regime), expected free energy is U-shaped in cue count k, and additional reasoning steps past the optimal truncation k* strictly increase expected free energy (Theorem 2.6.1).</w:t>
      </w:r>
    </w:p>
    <w:p>
      <w:pPr>
        <w:pStyle w:val="BodyText"/>
      </w:pPr>
      <w:r>
        <w:t xml:space="preserve">The framework predicts a specific, novel, falsifiable failure mode of contemporary LLM reasoning systems: under tasks satisfying meta-uncertainty (Knightian conditions, not aleatory risk or simple ambiguity), additional chain-of-thought (CoT) reasoning steps should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accuracy. This prediction directly contradicts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around o1/o3-style reasoning models. The present study is the confirmatory test.</w:t>
      </w:r>
    </w:p>
    <w:bookmarkEnd w:id="9"/>
    <w:bookmarkStart w:id="10" w:name="research-question"/>
    <w:p>
      <w:pPr>
        <w:pStyle w:val="Heading3"/>
      </w:pPr>
      <w:r>
        <w:t xml:space="preserve">1.2 Research question</w:t>
      </w:r>
    </w:p>
    <w:p>
      <w:pPr>
        <w:pStyle w:val="FirstParagraph"/>
      </w:pPr>
      <w:r>
        <w:t xml:space="preserve">Does additional CoT reasoning degrade LLM accuracy on high-meta-uncertainty items (as predicted by the cue-truncation theorem), and does this effect interact with the regime score (a behavioral proxy for σ²_τ) in the direction predicted by theory?</w:t>
      </w:r>
    </w:p>
    <w:bookmarkEnd w:id="10"/>
    <w:bookmarkStart w:id="11" w:name="headline-claim"/>
    <w:p>
      <w:pPr>
        <w:pStyle w:val="Heading3"/>
      </w:pPr>
      <w:r>
        <w:t xml:space="preserve">1.3 Headline claim</w:t>
      </w:r>
    </w:p>
    <w:p>
      <w:pPr>
        <w:pStyle w:val="FirstParagraph"/>
      </w:pPr>
      <w:r>
        <w:t xml:space="preserve">Within items in the top quartile of the regime score (high meta-uncertainty proxy), accuracy as a function of CoT step count should be</w:t>
      </w:r>
      <w:r>
        <w:t xml:space="preserve"> </w:t>
      </w:r>
      <w:r>
        <w:rPr>
          <w:i/>
          <w:iCs/>
        </w:rPr>
        <w:t xml:space="preserve">decreasing</w:t>
      </w:r>
      <w:r>
        <w:t xml:space="preserve">. Within items in the bottom quartile, it should be</w:t>
      </w:r>
      <w:r>
        <w:t xml:space="preserve"> </w:t>
      </w:r>
      <w:r>
        <w:rPr>
          <w:i/>
          <w:iCs/>
        </w:rPr>
        <w:t xml:space="preserve">non-decreasing</w:t>
      </w:r>
      <w:r>
        <w:t xml:space="preserve">. The cross-quartile interaction is the primary test.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hypotheses"/>
    <w:p>
      <w:pPr>
        <w:pStyle w:val="Heading2"/>
      </w:pPr>
      <w:r>
        <w:t xml:space="preserve">2. Hypotheses</w:t>
      </w:r>
    </w:p>
    <w:bookmarkStart w:id="13" w:name="primary-hypothesis-confirmatory"/>
    <w:p>
      <w:pPr>
        <w:pStyle w:val="Heading3"/>
      </w:pPr>
      <w:r>
        <w:t xml:space="preserve">2.1 Primary hypothesis (confirmatory)</w:t>
      </w:r>
    </w:p>
    <w:p>
      <w:pPr>
        <w:pStyle w:val="FirstParagraph"/>
      </w:pPr>
      <w:r>
        <w:rPr>
          <w:b/>
          <w:bCs/>
        </w:rPr>
        <w:t xml:space="preserve">H1 [AMENDED v0.3; regressor updated AMENDED v0.4: A2]</w:t>
      </w:r>
      <w:r>
        <w:t xml:space="preserve">: The interaction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primary analysis model (Section 6, eq. 6.1′) is negative by a substantively non-trivial amount: assigning</w:t>
      </w:r>
      <w:r>
        <w:t xml:space="preserve"> </w:t>
      </w:r>
      <w:r>
        <w:rPr>
          <w:b/>
          <w:bCs/>
        </w:rPr>
        <w:t xml:space="preserve">long</w:t>
      </w:r>
      <w:r>
        <w:t xml:space="preserve"> </w:t>
      </w:r>
      <w:r>
        <w:t xml:space="preserve">(instructed step-by-step) rather than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(direct-answer) reasoning degrades accuracy in the high-regime (high-meta-uncertainty) bin relative to the low-regime bin.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nor/>
              <m:sty m:val="p"/>
            </m:rPr>
            <m:t>(directional)</m:t>
          </m:r>
          <m:r>
            <m:t> </m:t>
          </m:r>
          <m:r>
            <m:rPr>
              <m:nor/>
              <m:sty m:val="p"/>
            </m:rPr>
            <m:t>with substantive magnitude (see §6.2)</m:t>
          </m:r>
        </m:oMath>
      </m:oMathPara>
    </w:p>
    <w:p>
      <w:pPr>
        <w:pStyle w:val="FirstParagraph"/>
      </w:pPr>
      <w:r>
        <w:rPr>
          <w:i/>
          <w:iCs/>
        </w:rPr>
        <w:t xml:space="preserve">[AMENDED v0.4: A2] The interaction is now between the high-regime indicator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assigned-length</w:t>
      </w:r>
      <w:r>
        <w:rPr>
          <w:i/>
          <w:iCs/>
        </w:rPr>
        <w:t xml:space="preserve"> </w:t>
      </w:r>
      <w:r>
        <w:rPr>
          <w:i/>
          <w:iCs/>
        </w:rPr>
        <w:t xml:space="preserve">factor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long ∈ {0,1}</w:t>
      </w:r>
      <w:r>
        <w:rPr>
          <w:i/>
          <w:iCs/>
        </w:rPr>
        <w:t xml:space="preserve"> </w:t>
      </w:r>
      <w:r>
        <w:rPr>
          <w:i/>
          <w:iCs/>
        </w:rPr>
        <w:t xml:space="preserve">(eq. 6.1′, §6.1), not the realized step count. The meaning of H1 — instructed deliberation degrades high-regime accuracy relative to low-regime — is unchanged; only the regressor is changed, from an endogenous behavioral measure to the randomly-assigned manipulation (intention-to-treat). The realized-step interaction of the original eq. 6.1 is retained as the secondary mechanistic analysis R7 (§6.4).</w:t>
      </w:r>
    </w:p>
    <w:p>
      <w:pPr>
        <w:pStyle w:val="BodyText"/>
      </w:pPr>
      <w:r>
        <w:t xml:space="preserve">The stronger</w:t>
      </w:r>
      <w:r>
        <w:t xml:space="preserve"> </w:t>
      </w:r>
      <w:r>
        <w:rPr>
          <w:i/>
          <w:iCs/>
        </w:rPr>
        <w:t xml:space="preserve">full sign-reversal</w:t>
      </w:r>
      <w:r>
        <w:t xml:space="preserve"> </w:t>
      </w:r>
      <w:r>
        <w:t xml:space="preserve">condition of the original v0.2 statement —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t> </m:t>
        </m:r>
        <m:r>
          <m:rPr>
            <m:nor/>
            <m:sty m:val="p"/>
          </m:rPr>
          <m:t>AND</m:t>
        </m:r>
        <m:r>
          <m:t> 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equivalently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retained as a reported effect size and secondary descriptive claim</w:t>
      </w:r>
      <w:r>
        <w:t xml:space="preserve">, not as a confirmatory gate.</w:t>
      </w:r>
      <w:r>
        <w:t xml:space="preserve"> </w:t>
      </w:r>
      <w:r>
        <w:rPr>
          <w:i/>
          <w:iCs/>
        </w:rPr>
        <w:t xml:space="preserve">(Reason: simulation showed the full-reversal gate has ~7% power because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collinear; the directional claim with a magnitude floor recovers power to ~0.90 at a large effect while holding Type I at 0 — see §4.1 and the amendment document.)</w:t>
      </w:r>
    </w:p>
    <w:bookmarkEnd w:id="13"/>
    <w:bookmarkStart w:id="14" w:name="secondary-hypotheses-confirmatory"/>
    <w:p>
      <w:pPr>
        <w:pStyle w:val="Heading3"/>
      </w:pPr>
      <w:r>
        <w:t xml:space="preserve">2.2 Secondary hypotheses (confirmatory)</w:t>
      </w:r>
    </w:p>
    <w:p>
      <w:pPr>
        <w:pStyle w:val="FirstParagraph"/>
      </w:pPr>
      <w:r>
        <w:rPr>
          <w:b/>
          <w:bCs/>
        </w:rPr>
        <w:t xml:space="preserve">H2 (size-scaling)</w:t>
      </w:r>
      <w:r>
        <w:t xml:space="preserve">: The magnitude of the negative interaction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does not systematically decrease with model size. Theory predicts the effect is regime-driven, not capability-driven; a strong negative dependence on model size would falsify the framework’s scope claim.</w:t>
      </w:r>
    </w:p>
    <w:p>
      <w:pPr>
        <w:pStyle w:val="BodyText"/>
      </w:pPr>
      <w:r>
        <w:rPr>
          <w:b/>
          <w:bCs/>
        </w:rPr>
        <w:t xml:space="preserve">H3 (regime-validation)</w:t>
      </w:r>
      <w:r>
        <w:t xml:space="preserve">: Items independently classified as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by the §3.6 procedure show higher regime scores than items classified as</w:t>
      </w:r>
      <w:r>
        <w:t xml:space="preserve"> </w:t>
      </w:r>
      <w:r>
        <w:t xml:space="preserve">“aleatory”</w:t>
      </w:r>
      <w:r>
        <w:t xml:space="preserve"> </w:t>
      </w:r>
      <w:r>
        <w:t xml:space="preserve">(ground-truth distribution known) or</w:t>
      </w:r>
      <w:r>
        <w:t xml:space="preserve"> </w:t>
      </w:r>
      <w:r>
        <w:t xml:space="preserve">“epistemic”</w:t>
      </w:r>
      <w:r>
        <w:t xml:space="preserve"> </w:t>
      </w:r>
      <w:r>
        <w:t xml:space="preserve">(ground-truth distribution unknown but resolvable). This validates the regime score as picking up meta-uncertainty rather than other uncertainty types.</w:t>
      </w:r>
    </w:p>
    <w:bookmarkEnd w:id="14"/>
    <w:bookmarkStart w:id="15" w:name="Xc4f419ac31eddc0ad77adf4e35caa7ed1450131"/>
    <w:p>
      <w:pPr>
        <w:pStyle w:val="Heading3"/>
      </w:pPr>
      <w:r>
        <w:t xml:space="preserve">2.3 Exploratory hypotheses (non-confirmatory, reported for transparency)</w:t>
      </w:r>
    </w:p>
    <w:p>
      <w:pPr>
        <w:pStyle w:val="Compact"/>
        <w:numPr>
          <w:ilvl w:val="0"/>
          <w:numId w:val="1001"/>
        </w:numPr>
      </w:pPr>
      <w:r>
        <w:t xml:space="preserve">E1: Negative interaction is detectable on reasoning models (o1, DeepSeek-R1, Qwen-QwQ) at API-accessible scales, replicating the open-weight finding.</w:t>
      </w:r>
    </w:p>
    <w:p>
      <w:pPr>
        <w:pStyle w:val="Compact"/>
        <w:numPr>
          <w:ilvl w:val="0"/>
          <w:numId w:val="1001"/>
        </w:numPr>
      </w:pPr>
      <w:r>
        <w:t xml:space="preserve">E2: Token-level analysis of where accuracy degrades within the CoT trace reveals a transition point matching the EFE-predicted k*.</w:t>
      </w:r>
    </w:p>
    <w:p>
      <w:pPr>
        <w:pStyle w:val="Compact"/>
        <w:numPr>
          <w:ilvl w:val="0"/>
          <w:numId w:val="1001"/>
        </w:numPr>
      </w:pPr>
      <w:r>
        <w:t xml:space="preserve">E3: The negative interaction generalizes to a separate held-out item set constructed independently of the regime-score pre-screen.</w:t>
      </w:r>
    </w:p>
    <w:p>
      <w:pPr>
        <w:pStyle w:val="FirstParagraph"/>
      </w:pPr>
      <w:r>
        <w:t xml:space="preserve">These are reported alongside H1-H3 but do not affect the confirmatory inference.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study-design"/>
    <w:p>
      <w:pPr>
        <w:pStyle w:val="Heading2"/>
      </w:pPr>
      <w:r>
        <w:t xml:space="preserve">3. Study Design</w:t>
      </w:r>
    </w:p>
    <w:bookmarkStart w:id="17" w:name="design-type"/>
    <w:p>
      <w:pPr>
        <w:pStyle w:val="Heading3"/>
      </w:pPr>
      <w:r>
        <w:t xml:space="preserve">3.1 Design type</w:t>
      </w:r>
    </w:p>
    <w:p>
      <w:pPr>
        <w:pStyle w:val="FirstParagraph"/>
      </w:pPr>
      <w:r>
        <w:t xml:space="preserve">Within-item × within-model × between-condition experimental design. Items are nested within regime bins; each item is presented to each model under each of 5 conditions, with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5 replications per (model, item, condition) cell (raised from 3; §4.4).</w:t>
      </w:r>
    </w:p>
    <w:bookmarkEnd w:id="17"/>
    <w:bookmarkStart w:id="18" w:name="X5572cad37ce15125b43ed23110722f56d4c9902"/>
    <w:p>
      <w:pPr>
        <w:pStyle w:val="Heading3"/>
      </w:pPr>
      <w:r>
        <w:t xml:space="preserve">3.2 Conditions (independent variable: CoT length)</w:t>
      </w:r>
    </w:p>
    <w:p>
      <w:pPr>
        <w:pStyle w:val="FirstParagraph"/>
      </w:pPr>
      <w:r>
        <w:t xml:space="preserve">Five conditions, length-graded: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 — None</w:t>
      </w:r>
      <w:r>
        <w:t xml:space="preserve">: direct answer prompt, no CoT allowed (suppression via</w:t>
      </w:r>
      <w:r>
        <w:t xml:space="preserve"> </w:t>
      </w:r>
      <w:r>
        <w:t xml:space="preserve">“Answer in one word only.”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 — Short</w:t>
      </w:r>
      <w:r>
        <w:t xml:space="preserve">: ~3 reasoning steps target (</w:t>
      </w:r>
      <w:r>
        <w:t xml:space="preserve">“Think step by step, briefly, in 3 steps or fewer.”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 — Medium</w:t>
      </w:r>
      <w:r>
        <w:t xml:space="preserve">: ~7 reasoning steps target (</w:t>
      </w:r>
      <w:r>
        <w:t xml:space="preserve">“Think step by step in about 7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— Long</w:t>
      </w:r>
      <w:r>
        <w:t xml:space="preserve">: ~15 reasoning steps target (</w:t>
      </w:r>
      <w:r>
        <w:t xml:space="preserve">“Reason through this carefully in about 15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 — Unconstrained</w:t>
      </w:r>
      <w:r>
        <w:t xml:space="preserve">: standard CoT prompt (</w:t>
      </w:r>
      <w:r>
        <w:t xml:space="preserve">“Think step by step.”</w:t>
      </w:r>
      <w:r>
        <w:t xml:space="preserve">) with no length cap.</w:t>
      </w:r>
    </w:p>
    <w:p>
      <w:pPr>
        <w:pStyle w:val="FirstParagraph"/>
      </w:pPr>
      <w:r>
        <w:t xml:space="preserve">The realized step count is recorded per response.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independent variable is now the</w:t>
      </w:r>
      <w:r>
        <w:t xml:space="preserve"> </w:t>
      </w:r>
      <w:r>
        <w:rPr>
          <w:b/>
          <w:bCs/>
        </w:rPr>
        <w:t xml:space="preserve">assigned-length</w:t>
      </w:r>
      <w:r>
        <w:t xml:space="preserve"> </w:t>
      </w:r>
      <w:r>
        <w:t xml:space="preserve">factor</w:t>
      </w:r>
      <w:r>
        <w:t xml:space="preserve"> </w:t>
      </w:r>
      <w:r>
        <w:rPr>
          <w:rStyle w:val="VerbatimChar"/>
        </w:rPr>
        <w:t xml:space="preserve">long ∈ {0,1}</w:t>
      </w:r>
      <w:r>
        <w:t xml:space="preserve"> </w:t>
      </w:r>
      <w:r>
        <w:t xml:space="preserve">(short = C1; long = C2–C5; §5.2, eq. 6.1′), not the realized step count — the realized count is endogenous (a model emits more steps when struggling) and its analysis is demoted to the secondary instrumented/mediation check R7 (§6.4). The per-condition realized-step ordering (C1 &lt; C2 &lt; C3 &lt; C4) is reported as a secondary monotone dose effect; calibration found C5’s realized steps non-monotone (behavioral: the unconstrained prompt yields shorter completions on smaller models), so C5 is excluded from the secondary dose ladder while remaining a valid assigned-</w:t>
      </w:r>
      <w:r>
        <w:rPr>
          <w:rStyle w:val="VerbatimChar"/>
        </w:rPr>
        <w:t xml:space="preserve">long</w:t>
      </w:r>
      <w:r>
        <w:t xml:space="preserve"> </w:t>
      </w:r>
      <w:r>
        <w:t xml:space="preserve">trial in the primary ITT model.</w:t>
      </w:r>
    </w:p>
    <w:bookmarkEnd w:id="18"/>
    <w:bookmarkStart w:id="19" w:name="models-between-model-factor"/>
    <w:p>
      <w:pPr>
        <w:pStyle w:val="Heading3"/>
      </w:pPr>
      <w:r>
        <w:t xml:space="preserve">3.3 Models (between-model factor)</w:t>
      </w:r>
    </w:p>
    <w:p>
      <w:pPr>
        <w:pStyle w:val="FirstParagraph"/>
      </w:pPr>
      <w:r>
        <w:rPr>
          <w:b/>
          <w:bCs/>
        </w:rPr>
        <w:t xml:space="preserve">[AMENDED v0.4: panel]</w:t>
      </w:r>
      <w:r>
        <w:t xml:space="preserve"> </w:t>
      </w:r>
      <w:r>
        <w:t xml:space="preserve">Seven models: a five-model open-weight local backbone (the registered minimum) plus two frontier API models. The frontier additions are motivated by the feasibility read (</w:t>
      </w:r>
      <w:r>
        <w:rPr>
          <w:rStyle w:val="VerbatimChar"/>
        </w:rPr>
        <w:t xml:space="preserve">frontier_read_analysis.md</w:t>
      </w:r>
      <w:r>
        <w:t xml:space="preserve">), which found the H1 effect is</w:t>
      </w:r>
      <w:r>
        <w:t xml:space="preserve"> </w:t>
      </w:r>
      <w:r>
        <w:rPr>
          <w:i/>
          <w:iCs/>
        </w:rPr>
        <w:t xml:space="preserve">cleaner</w:t>
      </w:r>
      <w:r>
        <w:t xml:space="preserve"> </w:t>
      </w:r>
      <w:r>
        <w:t xml:space="preserve">on capable models that are off the small-model recognition floor and that these are the models the o1/o3 reasoning-scaling counter-narrative is actually about.</w:t>
      </w:r>
    </w:p>
    <w:p>
      <w:pPr>
        <w:pStyle w:val="BodyText"/>
      </w:pPr>
      <w:r>
        <w:rPr>
          <w:i/>
          <w:iCs/>
        </w:rPr>
        <w:t xml:space="preserve">Local backbone (~10× size range, instruction-tuned, open-weight, runnable on NVIDIA RTX 4070 Super, 12GB VRAM, with quantization where required):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M1</w:t>
      </w:r>
      <w:r>
        <w:t xml:space="preserve">: Phi-3.5-mini-instruct (3.8B parameters), bf16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M2</w:t>
      </w:r>
      <w:r>
        <w:t xml:space="preserve">: Mistral-7B-Instruct-v0.3 (7B), bf16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M3</w:t>
      </w:r>
      <w:r>
        <w:t xml:space="preserve">: Qwen-2.5-7B-Instruct (7B), bf16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M4</w:t>
      </w:r>
      <w:r>
        <w:t xml:space="preserve">: Qwen-2.5-14B-Instruct (14B), 4-bit AWQ quantization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M5</w:t>
      </w:r>
      <w:r>
        <w:t xml:space="preserve">: Qwen-2.5-32B-Instruct (32B), 4-bit AWQ quantization</w:t>
      </w:r>
    </w:p>
    <w:p>
      <w:pPr>
        <w:pStyle w:val="BodyText"/>
      </w:pPr>
      <w:r>
        <w:rPr>
          <w:i/>
          <w:iCs/>
        </w:rPr>
        <w:t xml:space="preserve">Frontier additions (API, snapshot-pinned for reproducibility):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M6</w:t>
      </w:r>
      <w:r>
        <w:t xml:space="preserve">: Claude Sonnet 4.5 (</w:t>
      </w:r>
      <w:r>
        <w:rPr>
          <w:rStyle w:val="VerbatimChar"/>
        </w:rPr>
        <w:t xml:space="preserve">claude-sonnet-4-5-20250929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M7</w:t>
      </w:r>
      <w:r>
        <w:t xml:space="preserve">: GPT-4o (</w:t>
      </w:r>
      <w:r>
        <w:rPr>
          <w:rStyle w:val="VerbatimChar"/>
        </w:rPr>
        <w:t xml:space="preserve">gpt-4o-2024-11-20</w:t>
      </w:r>
      <w:r>
        <w:t xml:space="preserve">)</w:t>
      </w:r>
    </w:p>
    <w:p>
      <w:pPr>
        <w:pStyle w:val="BodyText"/>
      </w:pPr>
      <w:r>
        <w:t xml:space="preserve">If a specific model is unavailable at data-collection time, it is substituted by the closest-equivalent instruction-tuned model released before the pre-registration timestamp (closest-size open-weight for M1–M5; closest frontier snapshot for M6–M7). Substitutions are logged in the deviations report. If frontier API access is unavailable, the five-model local backbone is the registered fallback and the frontier additions are reported as a separate confirmatory extension.</w:t>
      </w:r>
    </w:p>
    <w:bookmarkEnd w:id="19"/>
    <w:bookmarkStart w:id="20" w:name="Xd33dd9f0dc4f2a5e1104240a6be5cf1107c9370"/>
    <w:p>
      <w:pPr>
        <w:pStyle w:val="Heading3"/>
      </w:pPr>
      <w:r>
        <w:t xml:space="preserve">3.4 Items (within-condition factor, nested in regime bin)</w:t>
      </w:r>
    </w:p>
    <w:p>
      <w:pPr>
        <w:pStyle w:val="FirstParagraph"/>
      </w:pPr>
      <w:r>
        <w:t xml:space="preserve">Item pool: 79 frames constructed per §3.6 of the operationalization chapter to span Knightian, ambiguity, and aleatory uncertainty types. Items are pre-screened in the pilot (Section 9 of this pre-registration) and binned by regime score; the primary analysis uses items in the top quartile (high-regime) and bottom quartile (low-regime). Middle 50% items are retained for robustness checks but not used in the primary inference.</w:t>
      </w:r>
    </w:p>
    <w:p>
      <w:pPr>
        <w:pStyle w:val="BodyText"/>
      </w:pPr>
      <w:r>
        <w:t xml:space="preserve">Expected sample composition after pre-screen:</w:t>
      </w:r>
      <w:r>
        <w:t xml:space="preserve"> </w:t>
      </w:r>
      <w:r>
        <w:t xml:space="preserve">- High-regime: ~20 items</w:t>
      </w:r>
      <w:r>
        <w:t xml:space="preserve"> </w:t>
      </w:r>
      <w:r>
        <w:t xml:space="preserve">- Low-regime: ~20 items</w:t>
      </w:r>
      <w:r>
        <w:t xml:space="preserve"> </w:t>
      </w:r>
      <w:r>
        <w:t xml:space="preserve">- Middle (excluded from primary): ~39 items</w:t>
      </w:r>
    </w:p>
    <w:bookmarkEnd w:id="20"/>
    <w:bookmarkStart w:id="21" w:name="total-observations"/>
    <w:p>
      <w:pPr>
        <w:pStyle w:val="Heading3"/>
      </w:pPr>
      <w:r>
        <w:t xml:space="preserve">3.5 Total observations</w:t>
      </w:r>
    </w:p>
    <w:p>
      <w:pPr>
        <w:pStyle w:val="FirstParagraph"/>
      </w:pPr>
      <w:r>
        <w:rPr>
          <w:b/>
          <w:bCs/>
        </w:rPr>
        <w:t xml:space="preserve">[AMENDED v0.4: panel]</w:t>
      </w:r>
      <w:r>
        <w:t xml:space="preserve"> </w:t>
      </w:r>
      <w:r>
        <w:t xml:space="preserve">7 models × 79 frames × 5 conditions × 5 replications =</w:t>
      </w:r>
      <w:r>
        <w:t xml:space="preserve"> </w:t>
      </w:r>
      <w:r>
        <w:rPr>
          <w:b/>
          <w:bCs/>
        </w:rPr>
        <w:t xml:space="preserve">13,825 observations</w:t>
      </w:r>
      <w:r>
        <w:t xml:space="preserve"> </w:t>
      </w:r>
      <w:r>
        <w:t xml:space="preserve">total. Primary analysis uses 7 models × ~40 high-or-low-regime items × 5 conditions × 5 replications =</w:t>
      </w:r>
      <w:r>
        <w:t xml:space="preserve"> </w:t>
      </w:r>
      <w:r>
        <w:rPr>
          <w:b/>
          <w:bCs/>
        </w:rPr>
        <w:t xml:space="preserve">~7,000 observations</w:t>
      </w:r>
      <w:r>
        <w:t xml:space="preserve">.</w:t>
      </w:r>
      <w:r>
        <w:t xml:space="preserve"> </w:t>
      </w:r>
      <w:r>
        <w:rPr>
          <w:i/>
          <w:iCs/>
        </w:rPr>
        <w:t xml:space="preserve">(Registered-minimum fallback, 5 local models × 3 replications: 5,925 total / ~3,000 primary.)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ampling-plan"/>
    <w:p>
      <w:pPr>
        <w:pStyle w:val="Heading2"/>
      </w:pPr>
      <w:r>
        <w:t xml:space="preserve">4. Sampling Plan</w:t>
      </w:r>
    </w:p>
    <w:bookmarkStart w:id="23" w:name="sample-size-justification-power-analysis"/>
    <w:p>
      <w:pPr>
        <w:pStyle w:val="Heading3"/>
      </w:pPr>
      <w:r>
        <w:t xml:space="preserve">4.1 Sample size justification (power analysis)</w:t>
      </w:r>
    </w:p>
    <w:p>
      <w:pPr>
        <w:pStyle w:val="FirstParagraph"/>
      </w:pPr>
      <w:r>
        <w:rPr>
          <w:b/>
          <w:bCs/>
        </w:rPr>
        <w:t xml:space="preserve">[AMENDED v0.4: A2 — the realized-steps power analysis of Amendment 1 is superseded by a condition-ITT power analysis calibrated to the measured effect.]</w:t>
      </w:r>
      <w:r>
        <w:t xml:space="preserve"> </w:t>
      </w:r>
      <w:r>
        <w:t xml:space="preserve">The Amendment-1 §4.1 power figures (≈0.90 large / ≈0.47 modest) described the now-secondary realized-steps gate (</w:t>
      </w:r>
      <w:r>
        <w:rPr>
          <w:rStyle w:val="VerbatimChar"/>
        </w:rPr>
        <w:t xml:space="preserve">power_curve.py</w:t>
      </w:r>
      <w:r>
        <w:t xml:space="preserve">); they are retained for the R7 secondary analysis but no longer describe the primary test. The primary test is now the assigned-length (ITT) interaction of eq. 6.1′, for which power was re-estimated by full-design Monte Carlo (</w:t>
      </w:r>
      <w:r>
        <w:rPr>
          <w:rStyle w:val="VerbatimChar"/>
        </w:rPr>
        <w:t xml:space="preserve">condition_power.py</w:t>
      </w:r>
      <w:r>
        <w:t xml:space="preserve">) using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calibration ingredients (28 measured per-item high-regime C1 base rates including floored/ceilinged items, low-regime base rate 0.66, model-intercept SD 0.4 logit, cross-model length-effect SD 0.20 logit; 200 replications per effect size; the amended gate of §6.2/§7.1 applied per replication). Power by true high-regime short→long accuracy drop: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high-regime drop</w:t>
            </w:r>
          </w:p>
        </w:tc>
        <w:tc>
          <w:tcPr/>
          <w:p>
            <w:pPr>
              <w:pStyle w:val="Compact"/>
            </w:pPr>
            <w:r>
              <w:t xml:space="preserve">Power (3 reps)</w:t>
            </w:r>
          </w:p>
        </w:tc>
        <w:tc>
          <w:tcPr/>
          <w:p>
            <w:pPr>
              <w:pStyle w:val="Compact"/>
            </w:pPr>
            <w:r>
              <w:t xml:space="preserve">Power (5 reps)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pp (null)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  <w:r>
              <w:t xml:space="preserve"> </w:t>
            </w:r>
            <w:r>
              <w:rPr>
                <w:i/>
                <w:iCs/>
              </w:rPr>
              <w:t xml:space="preserve">(Type I)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  <w:r>
              <w:t xml:space="preserve"> </w:t>
            </w:r>
            <w:r>
              <w:rPr>
                <w:i/>
                <w:iCs/>
              </w:rPr>
              <w:t xml:space="preserve">(Type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pp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pp</w:t>
            </w:r>
            <w:r>
              <w:t xml:space="preserve"> </w:t>
            </w:r>
            <w:r>
              <w:t xml:space="preserve">(calibration, clean C1→C4)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pp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pp</w:t>
            </w:r>
            <w:r>
              <w:t xml:space="preserve"> </w:t>
            </w:r>
            <w:r>
              <w:t xml:space="preserve">(calibration, full C1→C5)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pp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Powered-for statement.</w:t>
      </w:r>
      <w:r>
        <w:t xml:space="preserve"> </w:t>
      </w:r>
      <w:r>
        <w:t xml:space="preserve">The calibration measured the true high-regime short→long drop in the</w:t>
      </w:r>
      <w:r>
        <w:t xml:space="preserve"> </w:t>
      </w:r>
      <w:r>
        <w:rPr>
          <w:b/>
          <w:bCs/>
        </w:rPr>
        <w:t xml:space="preserve">7–13 pp</w:t>
      </w:r>
      <w:r>
        <w:t xml:space="preserve"> </w:t>
      </w:r>
      <w:r>
        <w:t xml:space="preserve">range; the frontier read (off the small-model floor) measured ≈10 pp. </w:t>
      </w:r>
      <w:r>
        <w:rPr>
          <w:b/>
          <w:bCs/>
        </w:rPr>
        <w:t xml:space="preserve">5 replications is adopted</w:t>
      </w:r>
      <w:r>
        <w:t xml:space="preserve"> </w:t>
      </w:r>
      <w:r>
        <w:t xml:space="preserve">(§4.4): it powers per-model confirmation and lifts the conservative 7 pp cell toward 0.8 (and clears it by ≈8 pp); at the measured 10–13 pp the design has power ≈0.97–1.00. This table is computed for the</w:t>
      </w:r>
      <w:r>
        <w:t xml:space="preserve"> </w:t>
      </w:r>
      <w:r>
        <w:rPr>
          <w:b/>
          <w:bCs/>
        </w:rPr>
        <w:t xml:space="preserve">5-model</w:t>
      </w:r>
      <w:r>
        <w:t xml:space="preserve"> </w:t>
      </w:r>
      <w:r>
        <w:t xml:space="preserve">panel and is therefore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for the adopted</w:t>
      </w:r>
      <w:r>
        <w:t xml:space="preserve"> </w:t>
      </w:r>
      <w:r>
        <w:rPr>
          <w:b/>
          <w:bCs/>
        </w:rPr>
        <w:t xml:space="preserve">7-model</w:t>
      </w:r>
      <w:r>
        <w:t xml:space="preserve"> </w:t>
      </w:r>
      <w:r>
        <w:t xml:space="preserve">design (§3.3): adding two frontier models adds data and, per the feasibility read, raises the true effect off the small-model floor — both move power upward. The change of primary regressor (realized steps → assigned length) is the dominant driver of the recovery from the Amendment-1 figures. Caveats (carried forward): feeding noisy per-item base rates as ground truth injects variance in the conservative direction (net ±0.1 near the margin). The remaining concern — that the frequentist Wald proxy might be anti-conservative for the registered Bayesian gate — was</w:t>
      </w:r>
      <w:r>
        <w:t xml:space="preserve"> </w:t>
      </w:r>
      <w:r>
        <w:rPr>
          <w:b/>
          <w:bCs/>
        </w:rPr>
        <w:t xml:space="preserve">checked directly and resolved</w:t>
      </w:r>
      <w:r>
        <w:t xml:space="preserve">: a full-PyMC confirmation (</w:t>
      </w:r>
      <w:r>
        <w:rPr>
          <w:rStyle w:val="VerbatimChar"/>
        </w:rPr>
        <w:t xml:space="preserve">condition_power_pymc.py</w:t>
      </w:r>
      <w:r>
        <w:t xml:space="preserve">) re-ran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registered gate (eq. 6.1′ with the model random intercept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slope over 5 clusters, the item random intercept, and the N(0,1) shrinkage prior on β3) on data simulated from the same calibration-anchored DGP,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against the IRLS proxy on identical datasets. The two gates agreed on</w:t>
      </w:r>
      <w:r>
        <w:t xml:space="preserve"> </w:t>
      </w:r>
      <w:r>
        <w:rPr>
          <w:b/>
          <w:bCs/>
        </w:rPr>
        <w:t xml:space="preserve">100% of simulations</w:t>
      </w:r>
      <w:r>
        <w:t xml:space="preserve"> </w:t>
      </w:r>
      <w:r>
        <w:t xml:space="preserve">(120/120 across the 0 / 7 / 10 pp cells; 40 sims/cell). At the conservative</w:t>
      </w:r>
      <w:r>
        <w:t xml:space="preserve"> </w:t>
      </w:r>
      <w:r>
        <w:rPr>
          <w:b/>
          <w:bCs/>
        </w:rPr>
        <w:t xml:space="preserve">7 pp</w:t>
      </w:r>
      <w:r>
        <w:t xml:space="preserve"> </w:t>
      </w:r>
      <w:r>
        <w:t xml:space="preserve">effect the Bayesian gate’s power was</w:t>
      </w:r>
      <w:r>
        <w:t xml:space="preserve"> </w:t>
      </w:r>
      <w:r>
        <w:rPr>
          <w:b/>
          <w:bCs/>
        </w:rPr>
        <w:t xml:space="preserve">0.82</w:t>
      </w:r>
      <w:r>
        <w:t xml:space="preserve"> </w:t>
      </w:r>
      <w:r>
        <w:t xml:space="preserve">(identical to the proxy on the same data); at</w:t>
      </w:r>
      <w:r>
        <w:t xml:space="preserve"> </w:t>
      </w:r>
      <w:r>
        <w:rPr>
          <w:b/>
          <w:bCs/>
        </w:rPr>
        <w:t xml:space="preserve">10 pp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1.00</w:t>
      </w:r>
      <w:r>
        <w:t xml:space="preserve">; Type I at 0 pp was</w:t>
      </w:r>
      <w:r>
        <w:t xml:space="preserve"> </w:t>
      </w:r>
      <w:r>
        <w:rPr>
          <w:b/>
          <w:bCs/>
        </w:rPr>
        <w:t xml:space="preserve">0.05</w:t>
      </w:r>
      <w:r>
        <w:t xml:space="preserve"> </w:t>
      </w:r>
      <w:r>
        <w:t xml:space="preserve">(nominal). The Bayesian random-effects machinery therefore introduces no detectable power penalty, and the proxy table above is a faithful stand-in for the registered gate. (This run drew an independent base-rate resample and 40 sims/cell, so its absolute 7 pp level — 0.82 — carries more Monte-Carlo noise, ±~0.06, than the 200-sim proxy table’s 0.73; both sit comfortably in the</w:t>
      </w:r>
      <w:r>
        <w:t xml:space="preserve"> </w:t>
      </w:r>
      <w:r>
        <w:t xml:space="preserve">“≈0.8 at 7 pp”</w:t>
      </w:r>
      <w:r>
        <w:t xml:space="preserve"> </w:t>
      </w:r>
      <w:r>
        <w:t xml:space="preserve">range. See</w:t>
      </w:r>
      <w:r>
        <w:t xml:space="preserve"> </w:t>
      </w:r>
      <w:r>
        <w:rPr>
          <w:rStyle w:val="VerbatimChar"/>
        </w:rPr>
        <w:t xml:space="preserve">condition_power_pymc.{md,json}</w:t>
      </w:r>
      <w:r>
        <w:t xml:space="preserve">.)</w:t>
      </w:r>
    </w:p>
    <w:bookmarkEnd w:id="23"/>
    <w:bookmarkStart w:id="24" w:name="sampling-of-items"/>
    <w:p>
      <w:pPr>
        <w:pStyle w:val="Heading3"/>
      </w:pPr>
      <w:r>
        <w:t xml:space="preserve">4.2 Sampling of items</w:t>
      </w:r>
    </w:p>
    <w:p>
      <w:pPr>
        <w:pStyle w:val="FirstParagraph"/>
      </w:pPr>
      <w:r>
        <w:t xml:space="preserve">Items are drawn from a single fixed pool of 79 frames developed in §4 (benchmark design chapter). No replacement, no oversampling. Pilot pre-screen on Mistral-7B + 10 representative frames identifies whether the regime score successfully separates items as predicted; if it does not, the operationalization (§3.2-§3.3) is revised before full data collection and this pre-registration is amended (Section 9).</w:t>
      </w:r>
    </w:p>
    <w:bookmarkEnd w:id="24"/>
    <w:bookmarkStart w:id="25" w:name="sampling-of-conditions"/>
    <w:p>
      <w:pPr>
        <w:pStyle w:val="Heading3"/>
      </w:pPr>
      <w:r>
        <w:t xml:space="preserve">4.3 Sampling of conditions</w:t>
      </w:r>
    </w:p>
    <w:p>
      <w:pPr>
        <w:pStyle w:val="FirstParagraph"/>
      </w:pPr>
      <w:r>
        <w:t xml:space="preserve">All 5 conditions are presented for every (model, item) pair. No condition is added or dropped between pilot and full study unless documented as a pre-data deviation.</w:t>
      </w:r>
    </w:p>
    <w:bookmarkEnd w:id="25"/>
    <w:bookmarkStart w:id="26" w:name="replications"/>
    <w:p>
      <w:pPr>
        <w:pStyle w:val="Heading3"/>
      </w:pPr>
      <w:r>
        <w:t xml:space="preserve">4.4 Replications</w:t>
      </w:r>
    </w:p>
    <w:p>
      <w:pPr>
        <w:pStyle w:val="FirstParagraph"/>
      </w:pPr>
      <w:r>
        <w:rPr>
          <w:b/>
          <w:bCs/>
        </w:rPr>
        <w:t xml:space="preserve">[AMENDED v0.4: panel]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replications per (model, item, condition) cell (Amendment 1 / v0.2 specified three; raised to five per the §4.1 power analysis, which requires five reps to power per-model confirmation and the conservative ~7 pp scenario). Replications differ in: (a) sampling seed (each replication uses a distinct random seed for the model’s temperature-T sampling; frontier API models that do not honor a seed parameter rely on temperature stochasticity, logged per model), (b) prompt phrasing (where signature (a) of the regime score is computed across replications, the prompts are systematically varied; for the primary analysis, the canonical phrasing is used in replication 1, and replications 2–5 use rephrasings).</w:t>
      </w:r>
    </w:p>
    <w:bookmarkEnd w:id="26"/>
    <w:bookmarkStart w:id="27" w:name="exclusion-criteria"/>
    <w:p>
      <w:pPr>
        <w:pStyle w:val="Heading3"/>
      </w:pPr>
      <w:r>
        <w:t xml:space="preserve">4.5 Exclusion criteria</w:t>
      </w:r>
    </w:p>
    <w:p>
      <w:pPr>
        <w:pStyle w:val="Compact"/>
        <w:numPr>
          <w:ilvl w:val="0"/>
          <w:numId w:val="1003"/>
        </w:numPr>
      </w:pPr>
      <w:r>
        <w:t xml:space="preserve">Refused responses (model declines to answer): excluded from the analysis cell, replaced by an additional replication where possible.</w:t>
      </w:r>
    </w:p>
    <w:p>
      <w:pPr>
        <w:pStyle w:val="Compact"/>
        <w:numPr>
          <w:ilvl w:val="0"/>
          <w:numId w:val="1003"/>
        </w:numPr>
      </w:pPr>
      <w:r>
        <w:t xml:space="preserve">Malformed responses (cannot extract an answer): same handling.</w:t>
      </w:r>
    </w:p>
    <w:p>
      <w:pPr>
        <w:pStyle w:val="Compact"/>
        <w:numPr>
          <w:ilvl w:val="0"/>
          <w:numId w:val="1003"/>
        </w:numPr>
      </w:pPr>
      <w:r>
        <w:t xml:space="preserve">Items with &gt;50% refusal rate across (model, condition) cells: dropped from primary analysis, reported in supplementary.</w:t>
      </w:r>
    </w:p>
    <w:bookmarkEnd w:id="27"/>
    <w:bookmarkStart w:id="28" w:name="stopping-rule"/>
    <w:p>
      <w:pPr>
        <w:pStyle w:val="Heading3"/>
      </w:pPr>
      <w:r>
        <w:t xml:space="preserve">4.6 Stopping rule</w:t>
      </w:r>
    </w:p>
    <w:p>
      <w:pPr>
        <w:pStyle w:val="FirstParagraph"/>
      </w:pPr>
      <w:r>
        <w:t xml:space="preserve">Data collection runs to the pre-specified sample size (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13,825 observations at the adopted 7-model × 5-replication design; 5,925 at the registered-minimum fallback). No optional stopping. No interim analyses on the confirmatory hypothesis until data collection is complete.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ariables"/>
    <w:p>
      <w:pPr>
        <w:pStyle w:val="Heading2"/>
      </w:pPr>
      <w:r>
        <w:t xml:space="preserve">5. Variables</w:t>
      </w:r>
    </w:p>
    <w:bookmarkStart w:id="30" w:name="dependent-variable"/>
    <w:p>
      <w:pPr>
        <w:pStyle w:val="Heading3"/>
      </w:pPr>
      <w:r>
        <w:t xml:space="preserve">5.1 Dependent variable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): binary indicator of whether the model’s extracted answer matches the gold-standard answer for the item. For Knightian items where no single objective ground truth exists, accuracy is replaced by</w:t>
      </w:r>
      <w:r>
        <w:t xml:space="preserve"> </w:t>
      </w:r>
      <w:r>
        <w:rPr>
          <w:b/>
          <w:bCs/>
        </w:rPr>
        <w:t xml:space="preserve">expert-panel-rated coherence</w:t>
      </w:r>
      <w:r>
        <w:t xml:space="preserve"> </w:t>
      </w:r>
      <w:r>
        <w:t xml:space="preserve">(3-expert majority on a 5-point coherence scale, binarized at the median). Pre-registered: this replacement applies only to items in the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sub-category of the benchmark.</w:t>
      </w:r>
    </w:p>
    <w:bookmarkEnd w:id="30"/>
    <w:bookmarkStart w:id="31" w:name="primary-independent-variables"/>
    <w:p>
      <w:pPr>
        <w:pStyle w:val="Heading3"/>
      </w:pPr>
      <w:r>
        <w:t xml:space="preserve">5.2 Primary independent variables</w:t>
      </w:r>
    </w:p>
    <w:p>
      <w:pPr>
        <w:pStyle w:val="FirstParagraph"/>
      </w:pPr>
      <w:r>
        <w:rPr>
          <w:b/>
          <w:bCs/>
        </w:rPr>
        <w:t xml:space="preserve">[AMENDED v0.4: A2]</w:t>
      </w:r>
      <w:r>
        <w:t xml:space="preserve"> </w:t>
      </w:r>
      <w:r>
        <w:t xml:space="preserve">The primary reasoning-length variable is the</w:t>
      </w:r>
      <w:r>
        <w:t xml:space="preserve"> </w:t>
      </w:r>
      <w:r>
        <w:rPr>
          <w:b/>
          <w:bCs/>
        </w:rPr>
        <w:t xml:space="preserve">assigned-length factor</w:t>
      </w:r>
      <w:r>
        <w:t xml:space="preserve">, not the realized step count: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long_j</w:t>
      </w:r>
      <w:r>
        <w:t xml:space="preserve">: binary assigned-length indicator (0 = short, condition C1, direct answer; 1 = long, conditions C2–C5, any instructed step-by-step deliberation). Fixed by random assignment, hence exogenous (intention-to-treat).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regime_i</w:t>
      </w:r>
      <w:r>
        <w:t xml:space="preserve">: binary high-regime indicator (1 = top quartile of regime score, 0 = bottom quartile).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regime × long</w:t>
      </w:r>
      <w:r>
        <w:t xml:space="preserve">: interaction term (the primary test; β3 of eq. 6.1′).</w:t>
      </w:r>
    </w:p>
    <w:p>
      <w:pPr>
        <w:pStyle w:val="FirstParagraph"/>
      </w:pPr>
      <w:r>
        <w:rPr>
          <w:i/>
          <w:iCs/>
        </w:rPr>
        <w:t xml:space="preserve">Secondary (demoted from primary):</w:t>
      </w:r>
      <w:r>
        <w:t xml:space="preserve"> </w:t>
      </w:r>
      <w:r>
        <w:rPr>
          <w:b/>
          <w:bCs/>
        </w:rPr>
        <w:t xml:space="preserve">steps_{ij}</w:t>
      </w:r>
      <w:r>
        <w:t xml:space="preserve">, the realized number of reasoning steps in the model’s CoT trace (sentence-level segmentation; paragraph-level robustness in §4.8.4). Retained as the regressor of the secondary instrumented/mediation analysis R7 (§6.4), where the assigned condition serves as its instrument; not used in the primary gate, because the realized count is endogenous (correlated with attempt difficulty: in calibration, wrong answers carried more steps in both regimes).</w:t>
      </w:r>
    </w:p>
    <w:bookmarkEnd w:id="31"/>
    <w:bookmarkStart w:id="32" w:name="controls-random-effects"/>
    <w:p>
      <w:pPr>
        <w:pStyle w:val="Heading3"/>
      </w:pPr>
      <w:r>
        <w:t xml:space="preserve">5.3 Controls / random effects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7-level factor (5 local + 2 frontier) entered as model-level random intercept and random slope on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</w:t>
      </w:r>
      <w:r>
        <w:t xml:space="preserve">: random intercept (within regime bin).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 / assigned length</w:t>
      </w:r>
      <w:r>
        <w:t xml:space="preserve">: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 </w:t>
      </w:r>
      <w:r>
        <w:t xml:space="preserve">the assigned-length factor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(collapsing C1 vs C2–C5) is now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causal regressor rather than a nuisance control; the 5-level condition factor is reported as a secondary per-condition dose curve (C1 &lt; C2 &lt; C3 &lt; C4 monotone portion; C5 excluded from the dose ladder per §3.2). This promotes the randomly-assigned manipulation and demotes the realized step count to the R7 mechanistic estimate.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replication seed</w:t>
      </w:r>
      <w:r>
        <w:t xml:space="preserve">: not modeled (averaged within cell).</w:t>
      </w:r>
    </w:p>
    <w:bookmarkEnd w:id="32"/>
    <w:bookmarkStart w:id="33" w:name="operational-definition-of-step-count"/>
    <w:p>
      <w:pPr>
        <w:pStyle w:val="Heading3"/>
      </w:pPr>
      <w:r>
        <w:t xml:space="preserve">5.4 Operational definition of step count</w:t>
      </w:r>
    </w:p>
    <w:p>
      <w:pPr>
        <w:pStyle w:val="FirstParagraph"/>
      </w:pPr>
      <w:r>
        <w:t xml:space="preserve">A reasoning step is a sentence in the CoT trace that contains at least one of: (a) inferential connective (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 etc.), (b) intermediate computation, (c) intermediate claim about the task. Sentences that only meta-comment (</w:t>
      </w:r>
      <w:r>
        <w:t xml:space="preserve">“Let me think about this”</w:t>
      </w:r>
      <w:r>
        <w:t xml:space="preserve">) are not counted as steps. Step-counting is automated via a pre-specified regex + LLM-judge pipeline; inter-rater reliability against a 100-item human-coded subsample must exceed Cohen’s κ = 0.7 before automated counts are used in the primary analysis.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analysis-plan"/>
    <w:p>
      <w:pPr>
        <w:pStyle w:val="Heading2"/>
      </w:pPr>
      <w:r>
        <w:t xml:space="preserve">6. Analysis Plan</w:t>
      </w:r>
    </w:p>
    <w:bookmarkStart w:id="35" w:name="primary-analysis-model"/>
    <w:p>
      <w:pPr>
        <w:pStyle w:val="Heading3"/>
      </w:pPr>
      <w:r>
        <w:t xml:space="preserve">6.1 Primary analysis model</w:t>
      </w:r>
    </w:p>
    <w:p>
      <w:pPr>
        <w:pStyle w:val="FirstParagraph"/>
      </w:pPr>
      <w:r>
        <w:rPr>
          <w:b/>
          <w:bCs/>
        </w:rPr>
        <w:t xml:space="preserve">[AMENDED v0.4: A2]</w:t>
      </w:r>
      <w:r>
        <w:t xml:space="preserve"> </w:t>
      </w:r>
      <w:r>
        <w:t xml:space="preserve">The primary model is a hierarchical Bayesian logistic regression on the</w:t>
      </w:r>
      <w:r>
        <w:t xml:space="preserve"> </w:t>
      </w:r>
      <w:r>
        <w:rPr>
          <w:b/>
          <w:bCs/>
        </w:rPr>
        <w:t xml:space="preserve">assigned-length</w:t>
      </w:r>
      <w:r>
        <w:t xml:space="preserve"> </w:t>
      </w:r>
      <w:r>
        <w:t xml:space="preserve">factor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(eq. 6.1′). The realized-steps model (eq. 6.1, below) is retained as the secondary analysis R7 (§6.4).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function,</w:t>
      </w:r>
      <w:r>
        <w:t xml:space="preserve"> </w:t>
      </w:r>
      <w:r>
        <w:rPr>
          <w:rStyle w:val="VerbatimChar"/>
        </w:rPr>
        <w:t xml:space="preserve">long_j ∈ {0,1}</w:t>
      </w:r>
      <w:r>
        <w:t xml:space="preserve"> </w:t>
      </w:r>
      <w:r>
        <w:t xml:space="preserve">is the assigned-length factor (§5.2),</w:t>
      </w:r>
      <w:r>
        <w:t xml:space="preserve"> </w:t>
      </w:r>
      <w:r>
        <w:rPr>
          <w:rStyle w:val="VerbatimChar"/>
        </w:rPr>
        <w:t xml:space="preserve">regime_i ∈ {0,1}</w:t>
      </w:r>
      <w:r>
        <w:t xml:space="preserve"> </w:t>
      </w:r>
      <w:r>
        <w:t xml:space="preserve">is the high-regime indicator,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the model-level random intercept and random slope on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(the cross-model heterogeneity of the length effect),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item-level random intercept,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i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indexes the model. Because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is binary, β3 is the</w:t>
      </w:r>
      <w:r>
        <w:t xml:space="preserve"> </w:t>
      </w:r>
      <w:r>
        <w:rPr>
          <w:b/>
          <w:bCs/>
        </w:rPr>
        <w:t xml:space="preserve">difference-in-differences</w:t>
      </w:r>
      <w:r>
        <w:t xml:space="preserve"> </w:t>
      </w:r>
      <w:r>
        <w:t xml:space="preserve">of accuracy between the long and short conditions across regimes — the cleanest expression of the H1 dissociation.</w:t>
      </w:r>
    </w:p>
    <w:p>
      <w:pPr>
        <w:pStyle w:val="BodyText"/>
      </w:pPr>
      <w:r>
        <w:t xml:space="preserve">Priors (unchanged from v0.2 §6.1):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logit scale)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Random effect SDs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Implementation: PyMC (Bayesian sampling), non-centered random effects. 4 chains, 2000 warm-up + 2000 sampling iterations each. Convergence: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1.01</m:t>
        </m:r>
      </m:oMath>
      <w:r>
        <w:t xml:space="preserve">, ESS &gt; 400 per parameter.</w:t>
      </w:r>
    </w:p>
    <w:p>
      <w:pPr>
        <w:pStyle w:val="BodyText"/>
      </w:pPr>
      <w:r>
        <w:rPr>
          <w:b/>
          <w:bCs/>
        </w:rPr>
        <w:t xml:space="preserve">Secondary model (eq. 6.1; demoted from primary, AMENDED v0.4: A2 — now analysis R7).</w:t>
      </w:r>
      <w:r>
        <w:t xml:space="preserve"> </w:t>
      </w:r>
      <w:r>
        <w:t xml:space="preserve">The original realized-steps model is retained for the mechanistic/dose analysis, with the realized step count standardized within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 R7 the assigned condition instruments the realized step count (two-stage / mediation estimate), correcting the endogeneity that motivated the primary switch. It is reported, not gated.</w:t>
      </w:r>
    </w:p>
    <w:bookmarkEnd w:id="35"/>
    <w:bookmarkStart w:id="36" w:name="primary-inference-statistic"/>
    <w:p>
      <w:pPr>
        <w:pStyle w:val="Heading3"/>
      </w:pPr>
      <w:r>
        <w:t xml:space="preserve">6.2 Primary inference statistic</w:t>
      </w:r>
    </w:p>
    <w:p>
      <w:pPr>
        <w:pStyle w:val="FirstParagraph"/>
      </w:pPr>
      <w:r>
        <w:rPr>
          <w:b/>
          <w:bCs/>
        </w:rPr>
        <w:t xml:space="preserve">[AMENDED v0.3; re-targeted AMENDED v0.4: A2.]</w:t>
      </w:r>
      <w:r>
        <w:t xml:space="preserve"> </w:t>
      </w:r>
      <w:r>
        <w:t xml:space="preserve">The decision-gate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is unchanged from Amendment 1; it is applied to the β3 of the primary model eq. 6.1′ (assigned-length interaction). H1 is evaluated by</w:t>
      </w:r>
      <w:r>
        <w:t xml:space="preserve"> </w:t>
      </w:r>
      <w:r>
        <w:rPr>
          <w:b/>
          <w:bCs/>
        </w:rPr>
        <w:t xml:space="preserve">two jointly-required quantities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Directional: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Magnitude:</w:t>
      </w:r>
      <w:r>
        <w:t xml:space="preserve"> </w:t>
      </w:r>
      <w:r>
        <w:t xml:space="preserve">the posterior-median</w:t>
      </w:r>
      <w:r>
        <w:t xml:space="preserve"> </w:t>
      </w:r>
      <w:r>
        <w:rPr>
          <w:b/>
          <w:bCs/>
        </w:rPr>
        <w:t xml:space="preserve">robust implied accuracy drop</w:t>
      </w:r>
      <w:r>
        <w:t xml:space="preserve"> </w:t>
      </w:r>
      <w:r>
        <w:t xml:space="preserve">exceeds</w:t>
      </w:r>
      <w:r>
        <w:t xml:space="preserve"> </w:t>
      </w:r>
      <w:r>
        <w:rPr>
          <w:b/>
          <w:bCs/>
        </w:rPr>
        <w:t xml:space="preserve">6 percentage points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robust implied accuracy drop</w:t>
      </w:r>
      <w:r>
        <w:t xml:space="preserve"> </w:t>
      </w:r>
      <w:r>
        <w:t xml:space="preserve">is the high-regime short→long change in predicted accuracy evaluated at the</w:t>
      </w:r>
      <w:r>
        <w:t xml:space="preserve"> </w:t>
      </w:r>
      <w:r>
        <w:rPr>
          <w:b/>
          <w:bCs/>
        </w:rPr>
        <w:t xml:space="preserve">empirical high-regime base rate</w:t>
      </w:r>
      <w:r>
        <w:t xml:space="preserve">, depending only on the posterior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 It is independent of the global intercept (weakly identified) and, for the binary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contrast, is simply the base-rate-anchored short-vs-long accuracy difference.</w:t>
      </w:r>
      <w:r>
        <w:t xml:space="preserve"> </w:t>
      </w:r>
      <w:r>
        <w:rPr>
          <w:i/>
          <w:iCs/>
        </w:rPr>
        <w:t xml:space="preserve">(For the secondary realized-steps R7, the same estimand is computed over the 10th–90th percentile of the within-model standardized step count, as in Amendment 1.)</w:t>
      </w:r>
      <w:r>
        <w:t xml:space="preserve"> </w:t>
      </w:r>
      <w:r>
        <w:t xml:space="preserve">The 6 pp floor was selected by</w:t>
      </w:r>
      <w:r>
        <w:t xml:space="preserve"> </w:t>
      </w:r>
      <w:r>
        <w:rPr>
          <w:rStyle w:val="VerbatimChar"/>
        </w:rPr>
        <w:t xml:space="preserve">power_curve.py</w:t>
      </w:r>
      <w:r>
        <w:t xml:space="preserve">: among candidate floors {6, 8, 10} it maximised power at equal (zero) Type I error.</w:t>
      </w:r>
    </w:p>
    <w:p>
      <w:pPr>
        <w:pStyle w:val="BodyText"/>
      </w:pPr>
      <w:r>
        <w:t xml:space="preserve">The v0.2 statistic —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t> </m:t>
        </m:r>
        <m:r>
          <m:rPr>
            <m:nor/>
            <m:sty m:val="p"/>
          </m:rPr>
          <m:t>AND</m:t>
        </m:r>
        <m:r>
          <m:t> 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t xml:space="preserve">, the full-reversal probability — is</w:t>
      </w:r>
      <w:r>
        <w:t xml:space="preserve"> </w:t>
      </w:r>
      <w:r>
        <w:rPr>
          <w:b/>
          <w:bCs/>
        </w:rPr>
        <w:t xml:space="preserve">retained as a reported effect size</w:t>
      </w:r>
      <w:r>
        <w:t xml:space="preserve">, not the confirmatory gate.</w:t>
      </w:r>
    </w:p>
    <w:bookmarkEnd w:id="36"/>
    <w:bookmarkStart w:id="37" w:name="effect-size-reporting"/>
    <w:p>
      <w:pPr>
        <w:pStyle w:val="Heading3"/>
      </w:pPr>
      <w:r>
        <w:t xml:space="preserve">6.3 Effect-size reporting</w:t>
      </w:r>
    </w:p>
    <w:p>
      <w:pPr>
        <w:pStyle w:val="FirstParagraph"/>
      </w:pPr>
      <w:r>
        <w:t xml:space="preserve">Reported alongside the posterior probability:</w:t>
      </w:r>
      <w:r>
        <w:t xml:space="preserve"> </w:t>
      </w:r>
      <w:r>
        <w:t xml:space="preserve">- Posterior median and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- Implied within-bin slope of accuracy on step count for both high- and low-regime, on the probability scale (computed via posterior-predictive simulation).</w:t>
      </w:r>
      <w:r>
        <w:t xml:space="preserve"> </w:t>
      </w:r>
      <w:r>
        <w:t xml:space="preserve">- Implied accuracy drop in percentage points from minimum to maximum observed step count in the high-regime bin, for each model.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[v0.3]</w:t>
      </w:r>
      <w:r>
        <w:t xml:space="preserve"> </w:t>
      </w:r>
      <w:r>
        <w:t xml:space="preserve">The robust implied accuracy drop (10th–90th percentile step range at the empirical base rate; the §6.2 gating estimand) with its 95% credible interval, and the full-reversal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8" w:name="Xff3a04685c8acf9fc21ce8d184808a1ad394dc4"/>
    <w:p>
      <w:pPr>
        <w:pStyle w:val="Heading3"/>
      </w:pPr>
      <w:r>
        <w:t xml:space="preserve">6.4 Sensitivity / robustness checks (pre-specified)</w:t>
      </w:r>
    </w:p>
    <w:p>
      <w:pPr>
        <w:pStyle w:val="FirstParagraph"/>
      </w:pPr>
      <w:r>
        <w:t xml:space="preserve">Performed regardless of primary result; reported in supplementary: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R1</w:t>
      </w:r>
      <w:r>
        <w:t xml:space="preserve">: Re-fit (6.1) with paragraph-level rather than sentence-level step segmentation.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</w:t>
      </w:r>
      <w:r>
        <w:t xml:space="preserve">: Re-fit (6.1) using terciles rather than quartiles for regime binning, and on the full continuous regime score (no binning) with a linear interaction term.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R3</w:t>
      </w:r>
      <w:r>
        <w:t xml:space="preserve">: Re-fit (6.1) using the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regime score (dropping calibration error), per the §3.7 simulate-and-recover finding.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R4</w:t>
      </w:r>
      <w:r>
        <w:t xml:space="preserve">: Re-fit (6.1) on items not used in regime-score calibration (held-out subset), to rule out double-dipping.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R5</w:t>
      </w:r>
      <w:r>
        <w:t xml:space="preserve">: Fit the primary model (6.1′) separately per model, report consistency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sign across models.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 </w:t>
      </w:r>
      <w:r>
        <w:t xml:space="preserve">the realized-steps per-model sign consistency attaches to R7.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R6 [ADDED v0.3]</w:t>
      </w:r>
      <w:r>
        <w:t xml:space="preserve">: Re-fit the primary model with an added</w:t>
      </w:r>
      <w:r>
        <w:t xml:space="preserve"> </w:t>
      </w:r>
      <w:r>
        <w:rPr>
          <w:b/>
          <w:bCs/>
        </w:rPr>
        <w:t xml:space="preserve">item-level random slope</w:t>
      </w:r>
      <w:r>
        <w:t xml:space="preserve"> </w:t>
      </w:r>
      <w:r>
        <w:t xml:space="preserve">on the length factor (the model currently carries only an item random intercept). Simulation indicated that item-to-item effect heterogeneity, if unmodeled, can understate uncertainty; R6 checks the primary result is robust to modeling it.</w:t>
      </w:r>
      <w:r>
        <w:t xml:space="preserve"> </w:t>
      </w:r>
      <w:r>
        <w:rPr>
          <w:i/>
          <w:iCs/>
        </w:rPr>
        <w:t xml:space="preserve">(Note re R2: simulation found the continuous-regime model does not outperform the quartile-binned primary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design_sweep.md</w:t>
      </w:r>
      <w:r>
        <w:rPr>
          <w:i/>
          <w:iCs/>
        </w:rPr>
        <w:t xml:space="preserve"> </w:t>
      </w:r>
      <w:r>
        <w:rPr>
          <w:i/>
          <w:iCs/>
        </w:rPr>
        <w:t xml:space="preserve">— so R2 remains a robustness check, not a primary substitute.)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R7 [ADDED v0.4: A2] — realized-steps IV / mediation.</w:t>
      </w:r>
      <w:r>
        <w:t xml:space="preserve"> </w:t>
      </w:r>
      <w:r>
        <w:t xml:space="preserve">Re-estimate the per-step effect using the assigned condition as an instrument for the realized step count (two-stage / mediation estimate; the secondary eq. 6.1 of §6.1), and report the realized-steps interaction for continuity with the registered v0.2 model. This keeps the now-secondary mechanistic regressor visible alongside the primary ITT estimand and documents the endogeneity correction. R1 (alternative step segmentation) and the per-model realized-steps sign check (R5) attach here. C5 is excluded from the R7 ordinal dose contrast (non-monotone realized steps; §3.2), but remains an assigned-</w:t>
      </w:r>
      <w:r>
        <w:rPr>
          <w:rStyle w:val="VerbatimChar"/>
        </w:rPr>
        <w:t xml:space="preserve">long</w:t>
      </w:r>
      <w:r>
        <w:t xml:space="preserve"> </w:t>
      </w:r>
      <w:r>
        <w:t xml:space="preserve">trial in the primary model.</w:t>
      </w:r>
    </w:p>
    <w:bookmarkEnd w:id="38"/>
    <w:bookmarkStart w:id="39" w:name="multiple-comparisons"/>
    <w:p>
      <w:pPr>
        <w:pStyle w:val="Heading3"/>
      </w:pPr>
      <w:r>
        <w:t xml:space="preserve">6.5 Multiple comparisons</w:t>
      </w:r>
    </w:p>
    <w:p>
      <w:pPr>
        <w:pStyle w:val="FirstParagraph"/>
      </w:pPr>
      <w:r>
        <w:t xml:space="preserve">Primary inference is a single test (the posterior probability for H1). H2 and H3 are confirmatory but logically distinct hypotheses tested separately; no correction is applied across H1/H2/H3 because each addresses a different theoretical claim. Robustness checks R1-R6 are not used to update the confirmatory inference; they probe the conditional invariance of the result.</w:t>
      </w:r>
    </w:p>
    <w:p>
      <w:pPr>
        <w:pStyle w:val="BodyText"/>
      </w:pPr>
      <w:r>
        <w:t xml:space="preserve">Exploratory analyses (E1-E3) are reported with Bayes factors and the explicit</w:t>
      </w:r>
      <w:r>
        <w:t xml:space="preserve"> </w:t>
      </w:r>
      <w:r>
        <w:t xml:space="preserve">“exploratory”</w:t>
      </w:r>
      <w:r>
        <w:t xml:space="preserve"> </w:t>
      </w:r>
      <w:r>
        <w:t xml:space="preserve">label; they are not used to support confirmatory claims.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nference-criteria-and-falsification"/>
    <w:p>
      <w:pPr>
        <w:pStyle w:val="Heading2"/>
      </w:pPr>
      <w:r>
        <w:t xml:space="preserve">7. Inference Criteria and Falsification</w:t>
      </w:r>
    </w:p>
    <w:bookmarkStart w:id="41" w:name="confirmation-positive-result"/>
    <w:p>
      <w:pPr>
        <w:pStyle w:val="Heading3"/>
      </w:pPr>
      <w:r>
        <w:t xml:space="preserve">7.1 Confirmation (positive result)</w:t>
      </w:r>
    </w:p>
    <w:p>
      <w:pPr>
        <w:pStyle w:val="FirstParagraph"/>
      </w:pPr>
      <w:r>
        <w:rPr>
          <w:b/>
          <w:bCs/>
        </w:rPr>
        <w:t xml:space="preserve">[AMENDED v0.3; re-targeted AMENDED v0.4: A2 to the β3 of eq. 6.1′.]</w:t>
      </w:r>
      <w:r>
        <w:t xml:space="preserve"> </w:t>
      </w:r>
      <w:r>
        <w:t xml:space="preserve">H1 is confirmed iff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, and</w:t>
      </w:r>
      <w:r>
        <w:t xml:space="preserve"> </w:t>
      </w:r>
      <w:r>
        <w:t xml:space="preserve">2. the posterior-median robust implied high-regime accuracy drop (§6.2) exceeds</w:t>
      </w:r>
      <w:r>
        <w:t xml:space="preserve"> </w:t>
      </w:r>
      <w:r>
        <w:rPr>
          <w:b/>
          <w:bCs/>
        </w:rPr>
        <w:t xml:space="preserve">6 percentage points</w:t>
      </w:r>
      <w:r>
        <w:t xml:space="preserve">.</w:t>
      </w:r>
    </w:p>
    <w:p>
      <w:pPr>
        <w:pStyle w:val="BodyText"/>
      </w:pPr>
      <w:r>
        <w:t xml:space="preserve">The low-regime-slope sign and the full-reversal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are reported alongside but no longer gate confirmation.</w:t>
      </w:r>
    </w:p>
    <w:bookmarkEnd w:id="41"/>
    <w:bookmarkStart w:id="42" w:name="X4174f5c7c82e6cccbb0f09c46ebb6baa73d2d51"/>
    <w:p>
      <w:pPr>
        <w:pStyle w:val="Heading3"/>
      </w:pPr>
      <w:r>
        <w:t xml:space="preserve">7.2 Falsification (negative result that updates the framework)</w:t>
      </w:r>
    </w:p>
    <w:p>
      <w:pPr>
        <w:pStyle w:val="FirstParagraph"/>
      </w:pPr>
      <w:r>
        <w:rPr>
          <w:b/>
          <w:bCs/>
        </w:rPr>
        <w:t xml:space="preserve">[AMENDED v0.3; re-targeted AMENDED v0.4: A2 to the β3 of eq. 6.1′.]</w:t>
      </w:r>
      <w:r>
        <w:t xml:space="preserve"> </w:t>
      </w:r>
      <w:r>
        <w:t xml:space="preserve">H1 is falsified iff: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(the interaction is in the opposite direction with high posterior probability), or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but the robust implied accuracy drop is &lt;</w:t>
      </w:r>
      <w:r>
        <w:t xml:space="preserve"> </w:t>
      </w:r>
      <w:r>
        <w:rPr>
          <w:b/>
          <w:bCs/>
        </w:rPr>
        <w:t xml:space="preserve">3 percentage points</w:t>
      </w:r>
      <w:r>
        <w:t xml:space="preserve"> </w:t>
      </w:r>
      <w:r>
        <w:t xml:space="preserve">(the directional effect is real but practically negligible — the framework predicts a substantive failure mode, not a noise-level effect).</w:t>
      </w:r>
    </w:p>
    <w:bookmarkEnd w:id="42"/>
    <w:bookmarkStart w:id="43" w:name="inconclusive"/>
    <w:p>
      <w:pPr>
        <w:pStyle w:val="Heading3"/>
      </w:pPr>
      <w:r>
        <w:t xml:space="preserve">7.3 Inconclusive</w:t>
      </w:r>
    </w:p>
    <w:p>
      <w:pPr>
        <w:pStyle w:val="FirstParagraph"/>
      </w:pPr>
      <w:r>
        <w:t xml:space="preserve">Any other outcome (e.g.,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, or directional effect with 5-10pp implied drop). Reported transparently as inconclusive; framework remains plausible but unconfirmed.</w:t>
      </w:r>
    </w:p>
    <w:bookmarkEnd w:id="43"/>
    <w:bookmarkStart w:id="44" w:name="what-we-will-not-do"/>
    <w:p>
      <w:pPr>
        <w:pStyle w:val="Heading3"/>
      </w:pPr>
      <w:r>
        <w:t xml:space="preserve">7.4 What we will NOT do</w:t>
      </w:r>
    </w:p>
    <w:p>
      <w:pPr>
        <w:pStyle w:val="Compact"/>
        <w:numPr>
          <w:ilvl w:val="0"/>
          <w:numId w:val="1008"/>
        </w:numPr>
      </w:pPr>
      <w:r>
        <w:t xml:space="preserve">Run additional analyses to</w:t>
      </w:r>
      <w:r>
        <w:t xml:space="preserve"> </w:t>
      </w:r>
      <w:r>
        <w:t xml:space="preserve">“rescue”</w:t>
      </w:r>
      <w:r>
        <w:t xml:space="preserve"> </w:t>
      </w:r>
      <w:r>
        <w:t xml:space="preserve">a non-confirmatory result and report them as confirmatory.</w:t>
      </w:r>
    </w:p>
    <w:p>
      <w:pPr>
        <w:pStyle w:val="Compact"/>
        <w:numPr>
          <w:ilvl w:val="0"/>
          <w:numId w:val="1008"/>
        </w:numPr>
      </w:pPr>
      <w:r>
        <w:t xml:space="preserve">Re-bin items or change regime thresholds after seeing primary results.</w:t>
      </w:r>
    </w:p>
    <w:p>
      <w:pPr>
        <w:pStyle w:val="Compact"/>
        <w:numPr>
          <w:ilvl w:val="0"/>
          <w:numId w:val="1008"/>
        </w:numPr>
      </w:pPr>
      <w:r>
        <w:t xml:space="preserve">Cherry-pick subsets of models or items to recover effects.</w:t>
      </w:r>
    </w:p>
    <w:p>
      <w:pPr>
        <w:pStyle w:val="Compact"/>
        <w:numPr>
          <w:ilvl w:val="0"/>
          <w:numId w:val="1008"/>
        </w:numPr>
      </w:pPr>
      <w:r>
        <w:t xml:space="preserve">Add or remove items, conditions, or models after pre-registration without amendment.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onfound-controls"/>
    <w:p>
      <w:pPr>
        <w:pStyle w:val="Heading2"/>
      </w:pPr>
      <w:r>
        <w:t xml:space="preserve">8. Confound Controls</w:t>
      </w:r>
    </w:p>
    <w:p>
      <w:pPr>
        <w:pStyle w:val="FirstParagraph"/>
      </w:pPr>
      <w:r>
        <w:t xml:space="preserve">The three confound mechanisms identified in §3.8 of the operationalization chapter receive paired control item sets:</w:t>
      </w:r>
    </w:p>
    <w:bookmarkStart w:id="46" w:name="X66177627f7e39a0d44ac927a92338f89511b453"/>
    <w:p>
      <w:pPr>
        <w:pStyle w:val="Heading3"/>
      </w:pPr>
      <w:r>
        <w:t xml:space="preserve">8.1 Prompt-sensitivity baseline (controls signature a)</w:t>
      </w:r>
    </w:p>
    <w:p>
      <w:pPr>
        <w:pStyle w:val="FirstParagraph"/>
      </w:pPr>
      <w:r>
        <w:t xml:space="preserve">Reference set of 10 items with well-attested ground truth (textbook arithmetic, well-known historical facts, standard math identities). Pre-registered prediction: reference items do NOT score in the high-regime bin. If they do, signature (a) is contaminated by base-rate prompt sensitivity; we apply per-model prompt-sensitivity correction (subtract per-model baseline cross-prompt variance on reference items) and re-run the primary analysis.</w:t>
      </w:r>
    </w:p>
    <w:bookmarkEnd w:id="46"/>
    <w:bookmarkStart w:id="47" w:name="aleatory-control-controls-signature-b"/>
    <w:p>
      <w:pPr>
        <w:pStyle w:val="Heading3"/>
      </w:pPr>
      <w:r>
        <w:t xml:space="preserve">8.2 Aleatory control (controls signature b)</w:t>
      </w:r>
    </w:p>
    <w:p>
      <w:pPr>
        <w:pStyle w:val="FirstParagraph"/>
      </w:pPr>
      <w:r>
        <w:t xml:space="preserve">Set of 10 items with high inherent stochasticity but no meta-uncertainty (e.g.,</w:t>
      </w:r>
      <w:r>
        <w:t xml:space="preserve"> </w:t>
      </w:r>
      <w:r>
        <w:t xml:space="preserve">“predict the outcome of a fair coin flip”</w:t>
      </w:r>
      <w:r>
        <w:t xml:space="preserve">). Pre-registered prediction: aleatory items may show high cross-seed variance but should NOT show the CoT-degradation pattern. If they do, the regime score is confounded with aleatory uncertainty.</w:t>
      </w:r>
    </w:p>
    <w:bookmarkEnd w:id="47"/>
    <w:bookmarkStart w:id="48" w:name="X2d3520b214c8ac876b988b014be4da3cc4b918c"/>
    <w:p>
      <w:pPr>
        <w:pStyle w:val="Heading3"/>
      </w:pPr>
      <w:r>
        <w:t xml:space="preserve">8.3 Per-model calibration baseline (controls signature c)</w:t>
      </w:r>
    </w:p>
    <w:p>
      <w:pPr>
        <w:pStyle w:val="FirstParagraph"/>
      </w:pPr>
      <w:r>
        <w:t xml:space="preserve">For each model, calibration error on a fixed 30-item well-defined probe set is computed and subtracted from per-item calibration error before z-standardization. If signature (c) carries weight in the final regime score, this correction prevents per-model calibration quirks from dominating the regime assignment.</w:t>
      </w:r>
    </w:p>
    <w:bookmarkEnd w:id="48"/>
    <w:bookmarkStart w:id="49" w:name="reporting"/>
    <w:p>
      <w:pPr>
        <w:pStyle w:val="Heading3"/>
      </w:pPr>
      <w:r>
        <w:t xml:space="preserve">8.4 Reporting</w:t>
      </w:r>
    </w:p>
    <w:p>
      <w:pPr>
        <w:pStyle w:val="FirstParagraph"/>
      </w:pPr>
      <w:r>
        <w:t xml:space="preserve">All three control comparisons are reported in the primary results section as confirmatory tests of the regime score’s validity. A failure on any one is reported transparently and the affected signature is either corrected (via the specified procedure) or dropped from the aggregator.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eviations-protocol"/>
    <w:p>
      <w:pPr>
        <w:pStyle w:val="Heading2"/>
      </w:pPr>
      <w:r>
        <w:t xml:space="preserve">9. Deviations Protocol</w:t>
      </w:r>
    </w:p>
    <w:bookmarkStart w:id="51" w:name="pilot-driven-amendments-permitted"/>
    <w:p>
      <w:pPr>
        <w:pStyle w:val="Heading3"/>
      </w:pPr>
      <w:r>
        <w:t xml:space="preserve">9.1 Pilot-driven amendments (permitted)</w:t>
      </w:r>
    </w:p>
    <w:p>
      <w:pPr>
        <w:pStyle w:val="FirstParagraph"/>
      </w:pPr>
      <w:r>
        <w:t xml:space="preserve">The §4 pilot may reveal that:</w:t>
      </w:r>
      <w:r>
        <w:t xml:space="preserve"> </w:t>
      </w:r>
      <w:r>
        <w:t xml:space="preserve">- The regime score does not separate items in the expected direction.</w:t>
      </w:r>
      <w:r>
        <w:t xml:space="preserve"> </w:t>
      </w:r>
      <w:r>
        <w:t xml:space="preserve">- Step counting is unreliable below the pre-specified κ = 0.7 threshold.</w:t>
      </w:r>
      <w:r>
        <w:t xml:space="preserve"> </w:t>
      </w:r>
      <w:r>
        <w:t xml:space="preserve">- One or more conditions produces uninterpretable responses.</w:t>
      </w:r>
    </w:p>
    <w:p>
      <w:pPr>
        <w:pStyle w:val="BodyText"/>
      </w:pPr>
      <w:r>
        <w:t xml:space="preserve">If any of the above occurs, the operationalization is revised before full data collection, and this pre-registration is</w:t>
      </w:r>
      <w:r>
        <w:t xml:space="preserve"> </w:t>
      </w:r>
      <w:r>
        <w:rPr>
          <w:b/>
          <w:bCs/>
        </w:rPr>
        <w:t xml:space="preserve">amended</w:t>
      </w:r>
      <w:r>
        <w:t xml:space="preserve"> </w:t>
      </w:r>
      <w:r>
        <w:t xml:space="preserve">(timestamped, visible on OSF, with the change rationale documented). Amendment occurs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full study begins, not after data is collected.</w:t>
      </w:r>
    </w:p>
    <w:bookmarkEnd w:id="51"/>
    <w:bookmarkStart w:id="52" w:name="model-substitution-rule-permitted"/>
    <w:p>
      <w:pPr>
        <w:pStyle w:val="Heading3"/>
      </w:pPr>
      <w:r>
        <w:t xml:space="preserve">9.2 Model-substitution rule (permitted)</w:t>
      </w:r>
    </w:p>
    <w:p>
      <w:pPr>
        <w:pStyle w:val="FirstParagraph"/>
      </w:pPr>
      <w:r>
        <w:t xml:space="preserve">If a specific model is unavailable at data collection (deprecated, weights removed, infrastructure-incompatible), it is substituted by the closest-size instruction-tuned open-weight model released before this pre-registration’s timestamp. Substitutions are logged in the deviations report.</w:t>
      </w:r>
    </w:p>
    <w:bookmarkEnd w:id="52"/>
    <w:bookmarkStart w:id="53" w:name="X475a77abc4c57de7039097237763c495bbcbed2"/>
    <w:p>
      <w:pPr>
        <w:pStyle w:val="Heading3"/>
      </w:pPr>
      <w:r>
        <w:t xml:space="preserve">9.3 Post-data-collection deviations (not permitted for confirmatory analyses)</w:t>
      </w:r>
    </w:p>
    <w:p>
      <w:pPr>
        <w:pStyle w:val="FirstParagraph"/>
      </w:pPr>
      <w:r>
        <w:t xml:space="preserve">After full-study data collection begins, no changes to (6.1), the regime bins, the conditions, or the items are allowed for the confirmatory analyses. Any post-collection observation that warrants further investigation is reported as exploratory.</w:t>
      </w:r>
    </w:p>
    <w:bookmarkEnd w:id="53"/>
    <w:bookmarkStart w:id="54" w:name="disclosure"/>
    <w:p>
      <w:pPr>
        <w:pStyle w:val="Heading3"/>
      </w:pPr>
      <w:r>
        <w:t xml:space="preserve">9.4 Disclosure</w:t>
      </w:r>
    </w:p>
    <w:p>
      <w:pPr>
        <w:pStyle w:val="FirstParagraph"/>
      </w:pPr>
      <w:r>
        <w:t xml:space="preserve">All deviations — pilot-driven or otherwise — are disclosed in the manuscript and on the OSF project page. Even minor deviations (e.g., dropping one item due to data corruption) are logged.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ata-and-code-sharing"/>
    <w:p>
      <w:pPr>
        <w:pStyle w:val="Heading2"/>
      </w:pPr>
      <w:r>
        <w:t xml:space="preserve">10. Data and Code Sharing</w:t>
      </w:r>
    </w:p>
    <w:bookmarkStart w:id="56" w:name="code"/>
    <w:p>
      <w:pPr>
        <w:pStyle w:val="Heading3"/>
      </w:pPr>
      <w:r>
        <w:t xml:space="preserve">10.1 Code</w:t>
      </w:r>
    </w:p>
    <w:p>
      <w:pPr>
        <w:pStyle w:val="FirstParagraph"/>
      </w:pPr>
      <w:r>
        <w:t xml:space="preserve">All code (data collection pipeline, regime-score estimator, step-counting pipeline, analysis scripts, plotting code) released under MIT license. Repository URL to be inserted at first commit (target:</w:t>
      </w:r>
      <w:r>
        <w:t xml:space="preserve"> </w:t>
      </w:r>
      <w:r>
        <w:rPr>
          <w:rStyle w:val="VerbatimChar"/>
        </w:rPr>
        <w:t xml:space="preserve">https://github.com/&lt;EvolutionAIry-handle&gt;/free-energy-heuristics</w:t>
      </w:r>
      <w:r>
        <w:t xml:space="preserve">); see Appendix C for the OSF-submission addendum protocol.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bookmarkEnd w:id="56"/>
    <w:bookmarkStart w:id="57" w:name="data"/>
    <w:p>
      <w:pPr>
        <w:pStyle w:val="Heading3"/>
      </w:pPr>
      <w:r>
        <w:t xml:space="preserve">10.2 Data</w:t>
      </w:r>
    </w:p>
    <w:p>
      <w:pPr>
        <w:pStyle w:val="Compact"/>
        <w:numPr>
          <w:ilvl w:val="0"/>
          <w:numId w:val="1009"/>
        </w:numPr>
      </w:pPr>
      <w:r>
        <w:t xml:space="preserve">Raw LLM responses (per model, per item, per condition, per replication): JSON files, CC-BY-4.0, hosted on OSF.</w:t>
      </w:r>
    </w:p>
    <w:p>
      <w:pPr>
        <w:pStyle w:val="Compact"/>
        <w:numPr>
          <w:ilvl w:val="0"/>
          <w:numId w:val="1009"/>
        </w:numPr>
      </w:pPr>
      <w:r>
        <w:t xml:space="preserve">Item set with regime scores: CSV, CC-BY-4.0, hosted on OSF.</w:t>
      </w:r>
    </w:p>
    <w:p>
      <w:pPr>
        <w:pStyle w:val="Compact"/>
        <w:numPr>
          <w:ilvl w:val="0"/>
          <w:numId w:val="1009"/>
        </w:numPr>
      </w:pPr>
      <w:r>
        <w:t xml:space="preserve">Analysis-ready data frame (responses × predictors × outcome): Parquet, CC-BY-4.0, hosted on OSF.</w:t>
      </w:r>
    </w:p>
    <w:p>
      <w:pPr>
        <w:pStyle w:val="Compact"/>
        <w:numPr>
          <w:ilvl w:val="0"/>
          <w:numId w:val="1009"/>
        </w:numPr>
      </w:pPr>
      <w:r>
        <w:t xml:space="preserve">Hierarchical Bayes posterior samples: NetCDF (via ArviZ), hosted on OSF.</w:t>
      </w:r>
    </w:p>
    <w:bookmarkEnd w:id="57"/>
    <w:bookmarkStart w:id="58" w:name="replicability-commitments"/>
    <w:p>
      <w:pPr>
        <w:pStyle w:val="Heading3"/>
      </w:pPr>
      <w:r>
        <w:t xml:space="preserve">10.3 Replicability commitments</w:t>
      </w:r>
    </w:p>
    <w:p>
      <w:pPr>
        <w:pStyle w:val="Compact"/>
        <w:numPr>
          <w:ilvl w:val="0"/>
          <w:numId w:val="1010"/>
        </w:numPr>
      </w:pPr>
      <w:r>
        <w:t xml:space="preserve">Random seeds for all LLM samplings and Bayesian chains are recorded and released with the data.</w:t>
      </w:r>
    </w:p>
    <w:p>
      <w:pPr>
        <w:pStyle w:val="Compact"/>
        <w:numPr>
          <w:ilvl w:val="0"/>
          <w:numId w:val="1010"/>
        </w:numPr>
      </w:pPr>
      <w:r>
        <w:t xml:space="preserve">A single-command replication script reproduces all primary and supplementary results from the released data and code.</w:t>
      </w:r>
    </w:p>
    <w:p>
      <w:pPr>
        <w:pStyle w:val="Compact"/>
        <w:numPr>
          <w:ilvl w:val="0"/>
          <w:numId w:val="1010"/>
        </w:numPr>
      </w:pPr>
      <w:r>
        <w:t xml:space="preserve">Hardware environment (GPU model, CUDA version, library versions) is documented.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timeline"/>
    <w:p>
      <w:pPr>
        <w:pStyle w:val="Heading2"/>
      </w:pPr>
      <w:r>
        <w:t xml:space="preserve">11. Timeline</w:t>
      </w:r>
    </w:p>
    <w:p>
      <w:pPr>
        <w:pStyle w:val="Compact"/>
        <w:numPr>
          <w:ilvl w:val="0"/>
          <w:numId w:val="1011"/>
        </w:numPr>
      </w:pPr>
      <w:r>
        <w:t xml:space="preserve">T0 (week 0): Pre-registration upload to OSF; theoretical pre-print posted to arXiv.</w:t>
      </w:r>
    </w:p>
    <w:p>
      <w:pPr>
        <w:pStyle w:val="Compact"/>
        <w:numPr>
          <w:ilvl w:val="0"/>
          <w:numId w:val="1011"/>
        </w:numPr>
      </w:pPr>
      <w:r>
        <w:t xml:space="preserve">T0 + 1 week: §4 pilot data collection (Mistral-7B + 10 frames, all conditions).</w:t>
      </w:r>
    </w:p>
    <w:p>
      <w:pPr>
        <w:pStyle w:val="Compact"/>
        <w:numPr>
          <w:ilvl w:val="0"/>
          <w:numId w:val="1011"/>
        </w:numPr>
      </w:pPr>
      <w:r>
        <w:t xml:space="preserve">T0 + 2 weeks: Pilot analysis; pre-registration amendment if needed.</w:t>
      </w:r>
    </w:p>
    <w:p>
      <w:pPr>
        <w:pStyle w:val="Compact"/>
        <w:numPr>
          <w:ilvl w:val="0"/>
          <w:numId w:val="1011"/>
        </w:numPr>
      </w:pPr>
      <w:r>
        <w:t xml:space="preserve">T0 + 3 to 6 weeks: Full data collection across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7 models (5 local + 2 frontier) × 79 frames × 5 conditions × 5 replications.</w:t>
      </w:r>
    </w:p>
    <w:p>
      <w:pPr>
        <w:pStyle w:val="Compact"/>
        <w:numPr>
          <w:ilvl w:val="0"/>
          <w:numId w:val="1011"/>
        </w:numPr>
      </w:pPr>
      <w:r>
        <w:t xml:space="preserve">T0 + 7 weeks: Analysis, manuscript draft.</w:t>
      </w:r>
    </w:p>
    <w:p>
      <w:pPr>
        <w:pStyle w:val="Compact"/>
        <w:numPr>
          <w:ilvl w:val="0"/>
          <w:numId w:val="1011"/>
        </w:numPr>
      </w:pPr>
      <w:r>
        <w:t xml:space="preserve">T0 + 9 weeks: Adversarial review pass.</w:t>
      </w:r>
    </w:p>
    <w:p>
      <w:pPr>
        <w:pStyle w:val="Compact"/>
        <w:numPr>
          <w:ilvl w:val="0"/>
          <w:numId w:val="1011"/>
        </w:numPr>
      </w:pPr>
      <w:r>
        <w:t xml:space="preserve">T0 + 10 weeks: arXiv full paper.</w:t>
      </w:r>
    </w:p>
    <w:p>
      <w:pPr>
        <w:pStyle w:val="Compact"/>
        <w:numPr>
          <w:ilvl w:val="0"/>
          <w:numId w:val="1011"/>
        </w:numPr>
      </w:pPr>
      <w:r>
        <w:t xml:space="preserve">T0 + 12 weeks: Submission to peer-reviewed venue (target: NeurIPS / ICML / Cognition / Psychological Review depending on framing).</w:t>
      </w:r>
    </w:p>
    <w:p>
      <w:r>
        <w:pict>
          <v:rect style="width:0;height:1.5pt" o:hralign="center" o:hrstd="t" o:hr="t"/>
        </w:pict>
      </w:r>
    </w:p>
    <w:bookmarkEnd w:id="60"/>
    <w:bookmarkStart w:id="61" w:name="Xf4a226a153edc0965902478b276d10014e27a06"/>
    <w:p>
      <w:pPr>
        <w:pStyle w:val="Heading2"/>
      </w:pPr>
      <w:r>
        <w:t xml:space="preserve">Appendix A: Theoretical Background (one-paragraph summary for reviewers)</w:t>
      </w:r>
    </w:p>
    <w:p>
      <w:pPr>
        <w:pStyle w:val="FirstParagraph"/>
      </w:pPr>
      <w:r>
        <w:t xml:space="preserve">The active-inference framework defines an optimal policy as the minimizer of expected free energy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over actions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cue counts</w:t>
      </w:r>
      <w:r>
        <w:t xml:space="preserve"> </w:t>
      </w:r>
      <m:oMath>
        <m:r>
          <m:t>k</m:t>
        </m:r>
      </m:oMath>
      <w:r>
        <w:t xml:space="preserve">. Under meta-uncertainty — uncertainty over the precision of one’s own prior, formalized as a Gamma prior on the inverse-variance scalar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— the marginal benefit of an additional cue decomposes into a positive epistemic gain about the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positive meta-cost driven by sharpening of the meta-precision posterior (Lemma 2.4.1). In the high-meta-uncertainty regime</w:t>
      </w:r>
      <w:r>
        <w:t xml:space="preserve"> </w:t>
      </w:r>
      <m:oMath>
        <m:sSubSup>
          <m:e>
            <m:r>
              <m:t>σ</m:t>
            </m:r>
          </m:e>
          <m:sub>
            <m:r>
              <m:t>τ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, the meta-cost eventually dominates and additional cues increase expected free energy (Theorem 2.6.1). This predicts a U-shaped accuracy-versus-CoT-length relationship for tasks satisfying meta-uncertainty, in contradiction to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for LLM reasoning systems. The present study tests the prediction directly.</w:t>
      </w:r>
    </w:p>
    <w:bookmarkEnd w:id="61"/>
    <w:bookmarkStart w:id="62" w:name="X4292b61bfd6d0125cb75bf6040ab88bde9a4255"/>
    <w:p>
      <w:pPr>
        <w:pStyle w:val="Heading2"/>
      </w:pPr>
      <w:r>
        <w:t xml:space="preserve">Appendix B: AsPredicted-Format Summary (alternative submission)</w:t>
      </w:r>
    </w:p>
    <w:p>
      <w:pPr>
        <w:pStyle w:val="FirstParagraph"/>
      </w:pPr>
      <w:r>
        <w:t xml:space="preserve">For users preferring AsPredicted.org’s 9-question format: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Have any data been collected for this study already?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What’s the main question being asked?</w:t>
      </w:r>
      <w:r>
        <w:t xml:space="preserve"> </w:t>
      </w:r>
      <w:r>
        <w:t xml:space="preserve">Does additional CoT reasoning degrade LLM accuracy on high-meta-uncertainty items, as predicted by the meta-precision cue-truncation theorem?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Describe the key dependent variable(s) specifying how they will be measured.</w:t>
      </w:r>
      <w:r>
        <w:t xml:space="preserve"> </w:t>
      </w:r>
      <w:r>
        <w:t xml:space="preserve">Binary accuracy of LLM answer against gold standard (or expert-rated coherence for Knightian items). Step count = sentence count in CoT trace meeting the pre-specified inferential criterion.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many and which conditions will participants be assigned to?</w:t>
      </w:r>
      <w:r>
        <w:t xml:space="preserve"> </w:t>
      </w:r>
      <w:r>
        <w:t xml:space="preserve">5 length-graded CoT conditions ×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7 LLMs (5 local + 2 frontier) × 79 items × 5 replications.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Specify exactly which analyses you will conduct.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 </w:t>
      </w:r>
      <w:r>
        <w:t xml:space="preserve">Hierarchical Bayesian logistic regression with</w:t>
      </w:r>
      <w:r>
        <w:t xml:space="preserve"> </w:t>
      </w:r>
      <w:r>
        <w:rPr>
          <w:b/>
          <w:bCs/>
        </w:rPr>
        <w:t xml:space="preserve">assigned-length (short C1 vs long C2–C5) × regime</w:t>
      </w:r>
      <w:r>
        <w:t xml:space="preserve"> </w:t>
      </w:r>
      <w:r>
        <w:t xml:space="preserve">interaction (eq. 6.1′ of the full pre-registration). Posterior probability of the directional interaction β3 &lt; 0. The realized-steps × regime interaction (eq. 6.1) is reported as a secondary instrumented/mediation analysis (R7).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Describe exactly how outliers will be defined and handled.</w:t>
      </w:r>
      <w:r>
        <w:t xml:space="preserve"> </w:t>
      </w:r>
      <w:r>
        <w:t xml:space="preserve">No outlier exclusion. Refused/malformed responses replaced by additional replications; items with &gt;50% refusal across cells dropped, reported.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will you determine sample size?</w:t>
      </w:r>
      <w:r>
        <w:t xml:space="preserve"> </w:t>
      </w:r>
      <w:r>
        <w:rPr>
          <w:b/>
          <w:bCs/>
        </w:rPr>
        <w:t xml:space="preserve">[AMENDED v0.4: panel]</w:t>
      </w:r>
      <w:r>
        <w:t xml:space="preserve"> </w:t>
      </w:r>
      <w:r>
        <w:t xml:space="preserve">Pre-specified: 13,825 observations total (7 models × 79 items × 5 conditions × 5 reps); ~7,000 in primary analysis. (Registered-minimum fallback 5,925 / ~3,000.)</w:t>
      </w:r>
      <w:r>
        <w:t xml:space="preserve"> </w:t>
      </w:r>
      <w:r>
        <w:rPr>
          <w:b/>
          <w:bCs/>
        </w:rPr>
        <w:t xml:space="preserve">[AMENDED v0.4: A2]</w:t>
      </w:r>
      <w:r>
        <w:t xml:space="preserve"> </w:t>
      </w:r>
      <w:r>
        <w:t xml:space="preserve">Simulation-based power for the assigned-length (ITT) primary test (</w:t>
      </w:r>
      <w:r>
        <w:rPr>
          <w:rStyle w:val="VerbatimChar"/>
        </w:rPr>
        <w:t xml:space="preserve">condition_power.py</w:t>
      </w:r>
      <w:r>
        <w:t xml:space="preserve">), calibrated to the measured effect: at 5 reps, power 0.73 at a conservative 7 pp high-regime drop, ≈0.97–1.00 at the measured 10–13 pp, Type I = 0.01 (see §4.1; conservative for the 7-model panel). A full-PyMC run of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registered Bayesian gate (</w:t>
      </w:r>
      <w:r>
        <w:rPr>
          <w:rStyle w:val="VerbatimChar"/>
        </w:rPr>
        <w:t xml:space="preserve">condition_power_pymc.py</w:t>
      </w:r>
      <w:r>
        <w:t xml:space="preserve">), paired against the proxy on identical data, agreed on 100% of simulations (Bayesian power 0.82 at 7 pp, 1.00 at 10 pp, Type I 0.05) — confirming the proxy is not anti-conservative. The Amendment-1 realized-steps figures (≈0.90 large / ≈0.47 modest) now describe the secondary R7 analysis.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Anything else you would like to pre-register?</w:t>
      </w:r>
      <w:r>
        <w:t xml:space="preserve"> </w:t>
      </w:r>
      <w:r>
        <w:t xml:space="preserve">Three confound controls (prompt sensitivity, aleatory, calibration baselines), all reported regardless of primary result. Five robustness checks. Falsification criteria explicit.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Manuscript ID / Project name:</w:t>
      </w:r>
      <w:r>
        <w:t xml:space="preserve"> </w:t>
      </w:r>
      <w:r>
        <w:t xml:space="preserve">FEH-2026 — Free Energy Heuristics: Empirical Test of the Cue-Truncation Theorem.</w:t>
      </w:r>
    </w:p>
    <w:bookmarkEnd w:id="62"/>
    <w:bookmarkStart w:id="68" w:name="Xee67c8f711c21dcf7976888a4aa0fef2e9f15e7"/>
    <w:p>
      <w:pPr>
        <w:pStyle w:val="Heading2"/>
      </w:pPr>
      <w:r>
        <w:t xml:space="preserve">Appendix C: Pre-Registration Status (2026-05-14)</w:t>
      </w:r>
    </w:p>
    <w:bookmarkStart w:id="63" w:name="resolved-before-submission"/>
    <w:p>
      <w:pPr>
        <w:pStyle w:val="Heading3"/>
      </w:pPr>
      <w:r>
        <w:t xml:space="preserve">Resolved before submission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 / affiliation:</w:t>
      </w:r>
      <w:r>
        <w:t xml:space="preserve"> </w:t>
      </w:r>
      <w:r>
        <w:t xml:space="preserve">Alex Bogdan, EvolutionAIry AI Inc. (Toronto, Canada). Sole investigator on this study.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Item pool:</w:t>
      </w:r>
      <w:r>
        <w:t xml:space="preserve"> </w:t>
      </w:r>
      <w:r>
        <w:t xml:space="preserve">Finalized as</w:t>
      </w:r>
      <w:r>
        <w:t xml:space="preserve"> </w:t>
      </w:r>
      <w:r>
        <w:rPr>
          <w:b/>
          <w:bCs/>
        </w:rPr>
        <w:t xml:space="preserve">FEH-79 pool v0.4</w:t>
      </w:r>
      <w:r>
        <w:t xml:space="preserve"> </w:t>
      </w:r>
      <w:r>
        <w:t xml:space="preserve">(</w:t>
      </w:r>
      <w:r>
        <w:rPr>
          <w:rStyle w:val="VerbatimChar"/>
        </w:rPr>
        <w:t xml:space="preserve">feh79_item_pool_v0.4.yaml</w:t>
      </w:r>
      <w:r>
        <w:t xml:space="preserve">;</w:t>
      </w:r>
      <w:r>
        <w:t xml:space="preserve"> </w:t>
      </w:r>
      <w:r>
        <w:rPr>
          <w:b/>
          <w:bCs/>
        </w:rPr>
        <w:t xml:space="preserve">[AMENDED v0.4]</w:t>
      </w:r>
      <w:r>
        <w:t xml:space="preserve"> </w:t>
      </w:r>
      <w:r>
        <w:t xml:space="preserve">v0.4 repairs 8 previously un-scorable items relative to v0.3 — corrections to answer keys/extractable-answer formatting only, changing no registered item’s meaning or regime classification). The v0.3 description below otherwise stands. Originally finalized as</w:t>
      </w:r>
      <w:r>
        <w:t xml:space="preserve"> </w:t>
      </w:r>
      <w:r>
        <w:rPr>
          <w:b/>
          <w:bCs/>
        </w:rPr>
        <w:t xml:space="preserve">FEH-79 pool v0.3</w:t>
      </w:r>
      <w:r>
        <w:t xml:space="preserve"> </w:t>
      </w:r>
      <w:r>
        <w:t xml:space="preserve">(</w:t>
      </w:r>
      <w:r>
        <w:rPr>
          <w:rStyle w:val="VerbatimChar"/>
        </w:rPr>
        <w:t xml:space="preserve">feh79_item_pool_v0.3.yaml</w:t>
      </w:r>
      <w:r>
        <w:t xml:space="preserve">), 141 total items: 79 Knightian (K1×20 non-recurrent forecasting + K2×20 novel-synthetic + K3×20 open-ended dilemma + K4×19 strategic uncertainty) + 50 controls (R×10 reference + A×10 aleatory + CB×30 calibration probe) + 12 R-arithmetic-calibration items (R-101..R-112; 4 difficulty bands × 3 items, added 2026-05-14 per §4.9.4 pilot finding; reported separately as a per-model competence curve,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enter the H1 confirmatory test). Pool validated by K2 cross-model multi-seed pre-screen (4-provider × 5-seed; 36/36 categorical Knightian items pass) and K3 google-floor check (15 K3-pass-clean + 4 K3-pass-marginal + 0 K3-fail-contaminated; one item — K2-015 — flagged contamination_risk medium per pool-metadata note). Validation records:</w:t>
      </w:r>
      <w:r>
        <w:t xml:space="preserve"> </w:t>
      </w:r>
      <w:r>
        <w:rPr>
          <w:rStyle w:val="VerbatimChar"/>
        </w:rPr>
        <w:t xml:space="preserve">Experiments/cross_model_results_v0.3_validation.json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Experiments/k3_floor_results_v0.3.json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Hardware environment:</w:t>
      </w:r>
      <w:r>
        <w:t xml:space="preserve"> </w:t>
      </w:r>
      <w:r>
        <w:t xml:space="preserve">Pilot and full study run on a single workstation: NVIDIA RTX 4070 Super (12 GB VRAM), Windows 11 Home, CUDA 12.x, Ollama runtime (Mistral-7B-Instruct quantized to Q4_K_M for the pilot; full-run model panel served via Ollama or vLLM as documented per-model in the released config).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Bibliography:</w:t>
      </w:r>
      <w:r>
        <w:t xml:space="preserve"> </w:t>
      </w:r>
      <w:r>
        <w:t xml:space="preserve">Consolidated to</w:t>
      </w:r>
      <w:r>
        <w:t xml:space="preserve"> </w:t>
      </w:r>
      <w:r>
        <w:rPr>
          <w:rStyle w:val="VerbatimChar"/>
        </w:rPr>
        <w:t xml:space="preserve">bibliography.md</w:t>
      </w:r>
      <w:r>
        <w:t xml:space="preserve"> </w:t>
      </w:r>
      <w:r>
        <w:t xml:space="preserve">covering §§1–4; ~38 entries, author-year style.</w:t>
      </w:r>
    </w:p>
    <w:bookmarkEnd w:id="63"/>
    <w:bookmarkStart w:id="64" w:name="X4331b5192fd6418bb6f21ebfb60ce984ca9dc64"/>
    <w:p>
      <w:pPr>
        <w:pStyle w:val="Heading3"/>
      </w:pPr>
      <w:r>
        <w:t xml:space="preserve">To be inserted at submission time (do not block OSF upload)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Theoretical pre-print arXiv DOI</w:t>
      </w:r>
      <w:r>
        <w:t xml:space="preserve"> </w:t>
      </w:r>
      <w:r>
        <w:t xml:space="preserve">— Chapter 2 not yet posted to arXiv. The pre-registration may reference this study without the DOI; the DOI will be inserted into the header upon arXiv posting (anticipated before full-run start).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 URL</w:t>
      </w:r>
      <w:r>
        <w:t xml:space="preserve"> </w:t>
      </w:r>
      <w:r>
        <w:t xml:space="preserve">— Repository to be created at first commit of the data-collection code. The pre-registration commits to MIT-licensed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(per §10.1).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OSF project URL</w:t>
      </w:r>
      <w:r>
        <w:t xml:space="preserve"> </w:t>
      </w:r>
      <w:r>
        <w:t xml:space="preserve">— Auto-generated by OSF at submission time and self-referential.</w:t>
      </w:r>
    </w:p>
    <w:bookmarkEnd w:id="64"/>
    <w:bookmarkStart w:id="65" w:name="Xde422ac43c843d746f8f02f30b2d1fd742a21c8"/>
    <w:p>
      <w:pPr>
        <w:pStyle w:val="Heading3"/>
      </w:pPr>
      <w:r>
        <w:t xml:space="preserve">To be completed during the pilot (per §4.9.2 P2, not before submission)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Step-counting pipeline κ-validation (heuristic vs LLM-judge)</w:t>
      </w:r>
      <w:r>
        <w:t xml:space="preserve"> </w:t>
      </w:r>
      <w:r>
        <w:t xml:space="preserve">— ✅</w:t>
      </w:r>
      <w:r>
        <w:t xml:space="preserve"> </w:t>
      </w:r>
      <w:r>
        <w:rPr>
          <w:b/>
          <w:bCs/>
        </w:rPr>
        <w:t xml:space="preserve">completed 2026-05-14.</w:t>
      </w:r>
      <w:r>
        <w:t xml:space="preserve"> </w:t>
      </w:r>
      <w:r>
        <w:t xml:space="preserve">The §4.9 pilot generated 150 responses (Mistral-7B × 10 frames × 5 conditions × 3 replications). The fast heuristic step-counter (Pass-1 baseline of</w:t>
      </w:r>
      <w:r>
        <w:t xml:space="preserve"> </w:t>
      </w:r>
      <w:r>
        <w:rPr>
          <w:rStyle w:val="VerbatimChar"/>
        </w:rPr>
        <w:t xml:space="preserve">step_counter.py</w:t>
      </w:r>
      <w:r>
        <w:t xml:space="preserve">) was validated against the LLM-judge (Pass-2 primary; Claude</w:t>
      </w:r>
      <w:r>
        <w:t xml:space="preserve"> </w:t>
      </w:r>
      <w:r>
        <w:rPr>
          <w:rStyle w:val="VerbatimChar"/>
        </w:rPr>
        <w:t xml:space="preserve">claude-sonnet-4-5-20250929</w:t>
      </w:r>
      <w:r>
        <w:t xml:space="preserve">) on a 539-sentence stratified subsample drawn from the rep=1 cells of the pilot. Result:</w:t>
      </w:r>
      <w:r>
        <w:t xml:space="preserve"> </w:t>
      </w:r>
      <w:r>
        <w:rPr>
          <w:b/>
          <w:bCs/>
        </w:rPr>
        <w:t xml:space="preserve">Cohen’s κ = +0.802</w:t>
      </w:r>
      <w:r>
        <w:t xml:space="preserve"> </w:t>
      </w:r>
      <w:r>
        <w:t xml:space="preserve">vs threshold 0.70 (raw agreement 91.5%; n = 539; 0 judging errors). Per-condition κ ranges 0.61–0.92 for C2–C5; C1 has only 10 sentences and is uninformative. See</w:t>
      </w:r>
      <w:r>
        <w:t xml:space="preserve"> </w:t>
      </w:r>
      <w:r>
        <w:rPr>
          <w:rStyle w:val="VerbatimChar"/>
        </w:rPr>
        <w:t xml:space="preserve">Experiments/step_counter_kappa.py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Experiments/kappa_validation.{json,md}</w:t>
      </w:r>
      <w:r>
        <w:t xml:space="preserve">. The heuristic is now validated as the Pass-1 step-counter for the full study; the LLM-judge remains the §4.8.2 primary measurement on a per-cell sub-sample.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Human-coded step-counter validation</w:t>
      </w:r>
      <w:r>
        <w:t xml:space="preserve"> </w:t>
      </w:r>
      <w:r>
        <w:t xml:space="preserve">— Planned for §4.10 Phase 5 (annotation rubric validation). 100-response subsample (20 per condition), 2 trained annotators, threshold κ ≥ 0.7 against the LLM-judge. Not a precondition for full data collection (the heuristic-vs-LLM-judge κ above is the operational gate).</w:t>
      </w:r>
    </w:p>
    <w:bookmarkEnd w:id="65"/>
    <w:bookmarkStart w:id="66" w:name="Xf6e28bd2913a5ead3638999b2341522621f298d"/>
    <w:p>
      <w:pPr>
        <w:pStyle w:val="Heading3"/>
      </w:pPr>
      <w:r>
        <w:t xml:space="preserve">Completed before full data collection (Amendment 1, 2026-05-29)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Confirmatory analysis pipeline implemented and validated.</w:t>
      </w:r>
      <w:r>
        <w:t xml:space="preserve"> </w:t>
      </w:r>
      <w:r>
        <w:t xml:space="preserve">Eq. 6.1 implemented in</w:t>
      </w:r>
      <w:r>
        <w:t xml:space="preserve"> </w:t>
      </w:r>
      <w:r>
        <w:rPr>
          <w:rStyle w:val="VerbatimChar"/>
        </w:rPr>
        <w:t xml:space="preserve">Experiments/confirmatory_analysis.py</w:t>
      </w:r>
      <w:r>
        <w:t xml:space="preserve">; validated by synthetic parameter recovery and simulation-based operating characteristics (</w:t>
      </w:r>
      <w:r>
        <w:rPr>
          <w:rStyle w:val="VerbatimChar"/>
        </w:rPr>
        <w:t xml:space="preserve">validate_analysis.py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analysis_validation.md</w:t>
      </w:r>
      <w:r>
        <w:t xml:space="preserve">): clean convergence (R̂ = 1.000, ESS 1.6k–2.0k), 95% CrIs cover the true β3 in all scenarios, false-confirmation rate 0/30 under the null.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Power analysis upgraded and gate amended (pre-data).</w:t>
      </w:r>
      <w:r>
        <w:t xml:space="preserve"> </w:t>
      </w:r>
      <w:r>
        <w:t xml:space="preserve">The original §6.2 full-reversal gate had ~7% power at the target effect and the §4.1 normal-approximation (0.92) was unreliable. Amendment 1 (</w:t>
      </w:r>
      <w:r>
        <w:rPr>
          <w:rStyle w:val="VerbatimChar"/>
        </w:rPr>
        <w:t xml:space="preserve">Preregistration_amendment_1_2026-05-29.md</w:t>
      </w:r>
      <w:r>
        <w:t xml:space="preserve">) reformulates the primary test to directional + robust magnitude floor (power ≈0.90 large / 0.47 modest, Type I 0;</w:t>
      </w:r>
      <w:r>
        <w:t xml:space="preserve"> </w:t>
      </w:r>
      <w:r>
        <w:rPr>
          <w:rStyle w:val="VerbatimChar"/>
        </w:rPr>
        <w:t xml:space="preserve">power_curve.md</w:t>
      </w:r>
      <w:r>
        <w:t xml:space="preserve">), demotes the full-reversal requirement to a reported effect size, and adds robustness check R6. A sweep confirmed more items do not raise power (</w:t>
      </w:r>
      <w:r>
        <w:rPr>
          <w:rStyle w:val="VerbatimChar"/>
        </w:rPr>
        <w:t xml:space="preserve">design_sweep.md</w:t>
      </w:r>
      <w:r>
        <w:t xml:space="preserve">). Filed before any confirmatory data collection, permitted under §9.1.</w:t>
      </w:r>
    </w:p>
    <w:bookmarkEnd w:id="66"/>
    <w:bookmarkStart w:id="67" w:name="Xb10498902de8d5d69ac823c3d789cfe74dbb6ad"/>
    <w:p>
      <w:pPr>
        <w:pStyle w:val="Heading3"/>
      </w:pPr>
      <w:r>
        <w:t xml:space="preserve">Completed before full data collection (Amendment 2 + panel/replication decision, 2026-05-30)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Effect size + σ_g calibration run (pre-data).</w:t>
      </w:r>
      <w:r>
        <w:t xml:space="preserve"> </w:t>
      </w:r>
      <w:r>
        <w:t xml:space="preserve">A separate pre-registered feasibility study (</w:t>
      </w:r>
      <w:r>
        <w:rPr>
          <w:rStyle w:val="VerbatimChar"/>
        </w:rPr>
        <w:t xml:space="preserve">Calibration_protocol.md</w:t>
      </w:r>
      <w:r>
        <w:t xml:space="preserve">) ran 3 local models × 28 objectively-scorable Knightian items + 14 controls × 5 conditions × 3 reps (1,890 cells, 0 errors;</w:t>
      </w:r>
      <w:r>
        <w:t xml:space="preserve"> </w:t>
      </w:r>
      <w:r>
        <w:rPr>
          <w:rStyle w:val="VerbatimChar"/>
        </w:rPr>
        <w:t xml:space="preserve">Experiments/calibration_responses.json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calibration_analysis.{md,json}</w:t>
      </w:r>
      <w:r>
        <w:t xml:space="preserve">). It measured a clear descriptive H1 dissociation (high-regime cbd-correctness falls ~7 pp clean C1→C4 / ~13 pp C1→C5 while low-regime accuracy is flat) but revealed the registered realized-steps regressor is mis-specified for the confirmatory estimand (endogenous; within-model standardization can invert the interaction sign; threshold-not-linear). This motivated</w:t>
      </w:r>
      <w:r>
        <w:t xml:space="preserve"> </w:t>
      </w:r>
      <w:r>
        <w:rPr>
          <w:b/>
          <w:bCs/>
        </w:rPr>
        <w:t xml:space="preserve">Amendment 2</w:t>
      </w:r>
      <w:r>
        <w:t xml:space="preserve"> </w:t>
      </w:r>
      <w:r>
        <w:t xml:space="preserve">(</w:t>
      </w:r>
      <w:r>
        <w:rPr>
          <w:rStyle w:val="VerbatimChar"/>
        </w:rPr>
        <w:t xml:space="preserve">Preregistration_amendment_2_2026-05-30.md</w:t>
      </w:r>
      <w:r>
        <w:t xml:space="preserve">): primary regressor → assigned-length ITT (</w:t>
      </w:r>
      <w:r>
        <w:rPr>
          <w:rStyle w:val="VerbatimChar"/>
        </w:rPr>
        <w:t xml:space="preserve">long</w:t>
      </w:r>
      <w:r>
        <w:t xml:space="preserve">), primary model → eq. 6.1′, simulation-based power (</w:t>
      </w:r>
      <w:r>
        <w:rPr>
          <w:rStyle w:val="VerbatimChar"/>
        </w:rPr>
        <w:t xml:space="preserve">condition_power.py</w:t>
      </w:r>
      <w:r>
        <w:t xml:space="preserve">), robustness R7. Descriptive-only; not part of the confirmatory sample.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Frontier feasibility read (pre-data).</w:t>
      </w:r>
      <w:r>
        <w:t xml:space="preserve"> </w:t>
      </w:r>
      <w:r>
        <w:t xml:space="preserve">Claude Sonnet 4.5 + GPT-4o on the calibration design (672 cells, 0 errors;</w:t>
      </w:r>
      <w:r>
        <w:t xml:space="preserve"> </w:t>
      </w:r>
      <w:r>
        <w:rPr>
          <w:rStyle w:val="VerbatimChar"/>
        </w:rPr>
        <w:t xml:space="preserve">Experiments/frontier_read.py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frontier_read_analysis.{md,json}</w:t>
      </w:r>
      <w:r>
        <w:t xml:space="preserve">) confirmed H1 holds</w:t>
      </w:r>
      <w:r>
        <w:t xml:space="preserve"> </w:t>
      </w:r>
      <w:r>
        <w:rPr>
          <w:i/>
          <w:iCs/>
        </w:rPr>
        <w:t xml:space="preserve">off the small-model floor</w:t>
      </w:r>
      <w:r>
        <w:t xml:space="preserve">: pooled assigned short→long high-regime drop +10.4 pp [+2.1, +18.8], difference-in-differences +9.2 pp [+0.9, +17.9], with GPT-4o floored on only 3/28 high items. This motivated the</w:t>
      </w:r>
      <w:r>
        <w:t xml:space="preserve"> </w:t>
      </w:r>
      <w:r>
        <w:rPr>
          <w:b/>
          <w:bCs/>
        </w:rPr>
        <w:t xml:space="preserve">panel/replication decision</w:t>
      </w:r>
      <w:r>
        <w:t xml:space="preserve">: panel 5 local → 5 local + 2 frontier (7 models), replications 3 → 5 (§3.3, §3.5, §4.4, §4.1). Manipulation-check finding: GPT-4o complies with the C1 direct-answer instruction (0 realized steps) while Claude reasons under C1 regardless (~4.7 steps) — vindicating the assigned-length (ITT) regressor over realized steps. Descriptive-only; not part of the confirmatory sample.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Full-PyMC power confirmation (pre-data).</w:t>
      </w:r>
      <w:r>
        <w:t xml:space="preserve"> </w:t>
      </w:r>
      <w:r>
        <w:t xml:space="preserve">The §4.1 power table is a fast IRLS/Wald proxy; to verify it is not anti-conservative for the registered Bayesian gate,</w:t>
      </w:r>
      <w:r>
        <w:t xml:space="preserve"> </w:t>
      </w:r>
      <w:r>
        <w:rPr>
          <w:rStyle w:val="VerbatimChar"/>
        </w:rPr>
        <w:t xml:space="preserve">Experiments/condition_power_pymc.py</w:t>
      </w:r>
      <w:r>
        <w:t xml:space="preserve"> </w:t>
      </w:r>
      <w:r>
        <w:t xml:space="preserve">re-ran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registered gate (eq. 6.1′ with model random intercept + slope, item random intercept, N(0,1) shrinkage on β3) on data from the same calibration-anchored DGP,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against the IRLS proxy on identical datasets (5-model design, reps = 5, 40 sims/cell at 0 / 7 / 10 pp). The two gates</w:t>
      </w:r>
      <w:r>
        <w:t xml:space="preserve"> </w:t>
      </w:r>
      <w:r>
        <w:rPr>
          <w:b/>
          <w:bCs/>
        </w:rPr>
        <w:t xml:space="preserve">agreed on 100% of simulations</w:t>
      </w:r>
      <w:r>
        <w:t xml:space="preserve"> </w:t>
      </w:r>
      <w:r>
        <w:t xml:space="preserve">(120/120); Bayesian power 0.82 at 7 pp and 1.00 at 10 pp, Type I 0.05 at the null. The Bayesian random-effects machinery introduces no detectable power penalty. See</w:t>
      </w:r>
      <w:r>
        <w:t xml:space="preserve"> </w:t>
      </w:r>
      <w:r>
        <w:rPr>
          <w:rStyle w:val="VerbatimChar"/>
        </w:rPr>
        <w:t xml:space="preserve">Experiments/condition_power_pymc.{md,json}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LaTeX-robust numeric scoring (analysis-code correction, pre-data).</w:t>
      </w:r>
      <w:r>
        <w:t xml:space="preserve"> </w:t>
      </w:r>
      <w:r>
        <w:t xml:space="preserve">The frontier read exposed that capable models format numeric answers as LaTeX under CoT (e.g. </w:t>
      </w:r>
      <w:r>
        <w:rPr>
          <w:rStyle w:val="VerbatimChar"/>
        </w:rPr>
        <w:t xml:space="preserve">\(\frac{1}{4}\)</w:t>
      </w:r>
      <w:r>
        <w:t xml:space="preserve">), which the registered numeric parser could not read — mis-scoring correct answers</w:t>
      </w:r>
      <w:r>
        <w:t xml:space="preserve"> </w:t>
      </w:r>
      <w:r>
        <w:rPr>
          <w:i/>
          <w:iCs/>
        </w:rPr>
        <w:t xml:space="preserve">by condition</w:t>
      </w:r>
      <w:r>
        <w:t xml:space="preserve"> </w:t>
      </w:r>
      <w:r>
        <w:t xml:space="preserve">and manufacturing a spurious control-regime effect. The canonical scorer (</w:t>
      </w:r>
      <w:r>
        <w:rPr>
          <w:rStyle w:val="VerbatimChar"/>
        </w:rPr>
        <w:t xml:space="preserve">Experiments/calibration_analysis.py::numeric_candidates</w:t>
      </w:r>
      <w:r>
        <w:t xml:space="preserve">) now normalizes LaTeX before matching; the change is a strict superset (only adds numeric candidates — verified on calibration data: 15 cells flip wrong→correct, 0 correct→wrong) and is covered by</w:t>
      </w:r>
      <w:r>
        <w:t xml:space="preserve"> </w:t>
      </w:r>
      <w:r>
        <w:rPr>
          <w:rStyle w:val="VerbatimChar"/>
        </w:rPr>
        <w:t xml:space="preserve">Experiments/test_latex_scoring.py</w:t>
      </w:r>
      <w:r>
        <w:t xml:space="preserve"> </w:t>
      </w:r>
      <w:r>
        <w:t xml:space="preserve">(17 assertions). It corrects analysis code only; no registered hypothesis, item, or decision rule changes.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Numeric-scorer rounding-precision hardening (analysis-code correction, pre-data).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resolved 2026-05-31.</w:t>
      </w:r>
      <w:r>
        <w:t xml:space="preserve"> </w:t>
      </w:r>
      <w:r>
        <w:t xml:space="preserve">The gold-match relative tolerance (0.1%) was too tight for frontier models that round to varying precision (e.g. 1/505 → 0.001982 vs gold 0.00198) — the</w:t>
      </w:r>
      <w:r>
        <w:t xml:space="preserve"> </w:t>
      </w:r>
      <w:r>
        <w:rPr>
          <w:i/>
          <w:iCs/>
        </w:rPr>
        <w:t xml:space="preserve">same class</w:t>
      </w:r>
      <w:r>
        <w:t xml:space="preserve"> </w:t>
      </w:r>
      <w:r>
        <w:t xml:space="preserve">of verbosity-correlated confound as the LaTeX issue. Replaced the blanket tolerance in</w:t>
      </w:r>
      <w:r>
        <w:t xml:space="preserve"> </w:t>
      </w:r>
      <w:r>
        <w:rPr>
          <w:rStyle w:val="VerbatimChar"/>
        </w:rPr>
        <w:t xml:space="preserve">Experiments/calibration_analysis.py::gold_match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significant-figure matching</w:t>
      </w:r>
      <w:r>
        <w:t xml:space="preserve">: integer golds (R-set arithmetic competence) require exact match (an estimate is a genuine failure); non-integer golds (probabilities stored as roundings of an exact real) match at the coarser of the two operands’ significant figures, floored at 3 sig figs (exact fractions get full precision). A blanket tolerance was explicitly rejected after a false-positive audit — the measured minimum cross-gold gap is 0.53% (gold 100 vs 100.531), so a 1% tolerance would cross-match distinct golds, and no fixed tolerance can separate a legitimate 3-sf rounding (0.706 for 0.7063, accept) from a genuine 3rd-sf value error (0.703 for 0.7063, reject). Covered by</w:t>
      </w:r>
      <w:r>
        <w:t xml:space="preserve"> </w:t>
      </w:r>
      <w:r>
        <w:rPr>
          <w:rStyle w:val="VerbatimChar"/>
        </w:rPr>
        <w:t xml:space="preserve">Experiments/test_latex_scoring.py</w:t>
      </w:r>
      <w:r>
        <w:t xml:space="preserve"> </w:t>
      </w:r>
      <w:r>
        <w:t xml:space="preserve">(extended to 27 assertions, all pass). Re-scoring the frontier read with the fix left the difference-in-differences robust (pooled DiD +9.2 → +9.8 pp [+1.8, +18.2]; control regime flatter). Corrects analysis code only; no registered hypothesis, item, or decision rule changes.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3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2026-05-31T15:01:01Z</dcterms:created>
  <dcterms:modified xsi:type="dcterms:W3CDTF">2026-05-31T15:01:01Z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