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gents.md"/>
    <w:p>
      <w:pPr>
        <w:pStyle w:val="Heading1"/>
      </w:pPr>
      <w:r>
        <w:t xml:space="preserve">AGENTS.md</w:t>
      </w:r>
    </w:p>
    <w:bookmarkEnd w:id="9"/>
    <w:bookmarkStart w:id="31" w:name="evolvnex-ai-engineering-instructions"/>
    <w:p>
      <w:pPr>
        <w:pStyle w:val="Heading1"/>
      </w:pPr>
      <w:r>
        <w:t xml:space="preserve">EvolvNex AI Engineering Instructions</w:t>
      </w:r>
    </w:p>
    <w:p>
      <w:pPr>
        <w:pStyle w:val="FirstParagraph"/>
      </w:pPr>
      <w:r>
        <w:t xml:space="preserve">This repository contains the EvolvNex Business Growth OS.</w:t>
      </w:r>
    </w:p>
    <w:p>
      <w:pPr>
        <w:pStyle w:val="BodyText"/>
      </w:pPr>
      <w:r>
        <w:t xml:space="preserve">These instructions apply to</w:t>
      </w:r>
      <w:r>
        <w:t xml:space="preserve"> </w:t>
      </w:r>
      <w:r>
        <w:rPr>
          <w:b/>
          <w:bCs/>
        </w:rPr>
        <w:t xml:space="preserve">all AI coding agents</w:t>
      </w:r>
      <w:r>
        <w:t xml:space="preserve">, including Cursor, Claude Code, GitHub Copilot, Codex, and other autonomous development agents.</w:t>
      </w:r>
    </w:p>
    <w:p>
      <w:r>
        <w:pict>
          <v:rect style="width:0;height:1.5pt" o:hralign="center" o:hrstd="t" o:hr="t"/>
        </w:pict>
      </w:r>
    </w:p>
    <w:bookmarkStart w:id="10" w:name="mandatory-first-step"/>
    <w:p>
      <w:pPr>
        <w:pStyle w:val="Heading2"/>
      </w:pPr>
      <w:r>
        <w:t xml:space="preserve">1. Mandatory First Step</w:t>
      </w:r>
    </w:p>
    <w:p>
      <w:pPr>
        <w:pStyle w:val="FirstParagraph"/>
      </w:pPr>
      <w:r>
        <w:t xml:space="preserve">Before making any code, database, architecture, or configuration change: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EVOLVNEX_ENGINEERING_CONSTITUTION.md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Inspect the existing implementation relevant to the task.</w:t>
      </w:r>
    </w:p>
    <w:p>
      <w:pPr>
        <w:pStyle w:val="Compact"/>
        <w:numPr>
          <w:ilvl w:val="0"/>
          <w:numId w:val="1001"/>
        </w:numPr>
      </w:pPr>
      <w:r>
        <w:t xml:space="preserve">Search for existing components, services, APIs, database tables, functions, and patterns before creating new ones.</w:t>
      </w:r>
    </w:p>
    <w:p>
      <w:pPr>
        <w:pStyle w:val="Compact"/>
        <w:numPr>
          <w:ilvl w:val="0"/>
          <w:numId w:val="1001"/>
        </w:numPr>
      </w:pPr>
      <w:r>
        <w:t xml:space="preserve">Identify the correct architectural layer for the change.</w:t>
      </w:r>
    </w:p>
    <w:p>
      <w:pPr>
        <w:pStyle w:val="Compact"/>
        <w:numPr>
          <w:ilvl w:val="0"/>
          <w:numId w:val="1001"/>
        </w:numPr>
      </w:pPr>
      <w:r>
        <w:t xml:space="preserve">Make the smallest safe change that satisfies the request.</w:t>
      </w:r>
    </w:p>
    <w:p>
      <w:pPr>
        <w:pStyle w:val="FirstParagraph"/>
      </w:pPr>
      <w:r>
        <w:t xml:space="preserve">The Constitution is mandatory and must not be bypassed for convenience.</w:t>
      </w:r>
    </w:p>
    <w:p>
      <w:r>
        <w:pict>
          <v:rect style="width:0;height:1.5pt" o:hralign="center" o:hrstd="t" o:hr="t"/>
        </w:pict>
      </w:r>
    </w:p>
    <w:bookmarkEnd w:id="10"/>
    <w:bookmarkStart w:id="11" w:name="source-of-truth-hierarchy"/>
    <w:p>
      <w:pPr>
        <w:pStyle w:val="Heading2"/>
      </w:pPr>
      <w:r>
        <w:t xml:space="preserve">2. Source-of-Truth Hierarchy</w:t>
      </w:r>
    </w:p>
    <w:p>
      <w:pPr>
        <w:pStyle w:val="FirstParagraph"/>
      </w:pPr>
      <w:r>
        <w:t xml:space="preserve">Use this order when determining how something should work: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EVOLVNEX_ENGINEERING_CONSTITUTION.md</w:t>
      </w:r>
    </w:p>
    <w:p>
      <w:pPr>
        <w:pStyle w:val="Compact"/>
        <w:numPr>
          <w:ilvl w:val="0"/>
          <w:numId w:val="1002"/>
        </w:numPr>
      </w:pPr>
      <w:r>
        <w:t xml:space="preserve">Existing project architecture and implementation</w:t>
      </w:r>
    </w:p>
    <w:p>
      <w:pPr>
        <w:pStyle w:val="Compact"/>
        <w:numPr>
          <w:ilvl w:val="0"/>
          <w:numId w:val="1002"/>
        </w:numPr>
      </w:pPr>
      <w:r>
        <w:t xml:space="preserve">Existing database schema and Supabase configuration</w:t>
      </w:r>
    </w:p>
    <w:p>
      <w:pPr>
        <w:pStyle w:val="Compact"/>
        <w:numPr>
          <w:ilvl w:val="0"/>
          <w:numId w:val="1002"/>
        </w:numPr>
      </w:pPr>
      <w:r>
        <w:t xml:space="preserve">User-provided task requirements</w:t>
      </w:r>
    </w:p>
    <w:p>
      <w:pPr>
        <w:pStyle w:val="Compact"/>
        <w:numPr>
          <w:ilvl w:val="0"/>
          <w:numId w:val="1002"/>
        </w:numPr>
      </w:pPr>
      <w:r>
        <w:t xml:space="preserve">AI assumptions</w:t>
      </w:r>
    </w:p>
    <w:p>
      <w:pPr>
        <w:pStyle w:val="FirstParagraph"/>
      </w:pPr>
      <w:r>
        <w:rPr>
          <w:b/>
          <w:bCs/>
        </w:rPr>
        <w:t xml:space="preserve">Never use AI assumptions to override an existing architectural decision.</w:t>
      </w:r>
    </w:p>
    <w:p>
      <w:pPr>
        <w:pStyle w:val="BodyText"/>
      </w:pPr>
      <w:r>
        <w:t xml:space="preserve">Detailed EvolvNex architecture specifications are maintained outside this repository. They may be provided to the agent when required.</w:t>
      </w:r>
    </w:p>
    <w:p>
      <w:pPr>
        <w:pStyle w:val="BodyText"/>
      </w:pPr>
      <w:r>
        <w:t xml:space="preserve">If an important architectural detail is unavailable,</w:t>
      </w:r>
      <w:r>
        <w:t xml:space="preserve"> </w:t>
      </w:r>
      <w:r>
        <w:rPr>
          <w:b/>
          <w:bCs/>
        </w:rPr>
        <w:t xml:space="preserve">do not invent a new architecture simply to continue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core-architecture"/>
    <w:p>
      <w:pPr>
        <w:pStyle w:val="Heading2"/>
      </w:pPr>
      <w:r>
        <w:t xml:space="preserve">3. Core Architecture</w:t>
      </w:r>
    </w:p>
    <w:p>
      <w:pPr>
        <w:pStyle w:val="FirstParagraph"/>
      </w:pPr>
      <w:r>
        <w:t xml:space="preserve">EvolvNex is a:</w:t>
      </w:r>
    </w:p>
    <w:p>
      <w:pPr>
        <w:pStyle w:val="Compact"/>
        <w:numPr>
          <w:ilvl w:val="0"/>
          <w:numId w:val="1003"/>
        </w:numPr>
      </w:pPr>
      <w:r>
        <w:t xml:space="preserve">Multi-tenant SaaS platform</w:t>
      </w:r>
    </w:p>
    <w:p>
      <w:pPr>
        <w:pStyle w:val="Compact"/>
        <w:numPr>
          <w:ilvl w:val="0"/>
          <w:numId w:val="1003"/>
        </w:numPr>
      </w:pPr>
      <w:r>
        <w:t xml:space="preserve">Business Growth OS</w:t>
      </w:r>
    </w:p>
    <w:p>
      <w:pPr>
        <w:pStyle w:val="Compact"/>
        <w:numPr>
          <w:ilvl w:val="0"/>
          <w:numId w:val="1003"/>
        </w:numPr>
      </w:pPr>
      <w:r>
        <w:t xml:space="preserve">Next.js + React + TypeScript application</w:t>
      </w:r>
    </w:p>
    <w:p>
      <w:pPr>
        <w:pStyle w:val="Compact"/>
        <w:numPr>
          <w:ilvl w:val="0"/>
          <w:numId w:val="1003"/>
        </w:numPr>
      </w:pPr>
      <w:r>
        <w:t xml:space="preserve">Supabase/PostgreSQL backend</w:t>
      </w:r>
    </w:p>
    <w:p>
      <w:pPr>
        <w:pStyle w:val="Compact"/>
        <w:numPr>
          <w:ilvl w:val="0"/>
          <w:numId w:val="1003"/>
        </w:numPr>
      </w:pPr>
      <w:r>
        <w:t xml:space="preserve">Security-first system</w:t>
      </w:r>
    </w:p>
    <w:p>
      <w:pPr>
        <w:pStyle w:val="Compact"/>
        <w:numPr>
          <w:ilvl w:val="0"/>
          <w:numId w:val="1003"/>
        </w:numPr>
      </w:pPr>
      <w:r>
        <w:t xml:space="preserve">Mobile-first application</w:t>
      </w:r>
    </w:p>
    <w:p>
      <w:pPr>
        <w:pStyle w:val="Compact"/>
        <w:numPr>
          <w:ilvl w:val="0"/>
          <w:numId w:val="1003"/>
        </w:numPr>
      </w:pPr>
      <w:r>
        <w:t xml:space="preserve">Provider-independent communication platform</w:t>
      </w:r>
    </w:p>
    <w:p>
      <w:pPr>
        <w:pStyle w:val="FirstParagraph"/>
      </w:pPr>
      <w:r>
        <w:t xml:space="preserve">The architecture must remain modular, maintainable, and extensible.</w:t>
      </w:r>
    </w:p>
    <w:p>
      <w:r>
        <w:pict>
          <v:rect style="width:0;height:1.5pt" o:hralign="center" o:hrstd="t" o:hr="t"/>
        </w:pict>
      </w:r>
    </w:p>
    <w:bookmarkEnd w:id="12"/>
    <w:bookmarkStart w:id="13" w:name="multi-tenancy-is-non-negotiable"/>
    <w:p>
      <w:pPr>
        <w:pStyle w:val="Heading2"/>
      </w:pPr>
      <w:r>
        <w:t xml:space="preserve">4. Multi-Tenancy Is Non-Negotiable</w:t>
      </w:r>
    </w:p>
    <w:p>
      <w:pPr>
        <w:pStyle w:val="FirstParagraph"/>
      </w:pPr>
      <w:r>
        <w:t xml:space="preserve">Every tenant-owned resource must be isolated.</w:t>
      </w:r>
    </w:p>
    <w:p>
      <w:pPr>
        <w:pStyle w:val="BodyText"/>
      </w:pPr>
      <w:r>
        <w:t xml:space="preserve">Always verify:</w:t>
      </w:r>
    </w:p>
    <w:p>
      <w:pPr>
        <w:pStyle w:val="Compact"/>
        <w:numPr>
          <w:ilvl w:val="0"/>
          <w:numId w:val="1004"/>
        </w:numPr>
      </w:pPr>
      <w:r>
        <w:t xml:space="preserve">Tenant ownership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Authorization</w:t>
      </w:r>
    </w:p>
    <w:p>
      <w:pPr>
        <w:pStyle w:val="Compact"/>
        <w:numPr>
          <w:ilvl w:val="0"/>
          <w:numId w:val="1004"/>
        </w:numPr>
      </w:pPr>
      <w:r>
        <w:t xml:space="preserve">RLS</w:t>
      </w:r>
    </w:p>
    <w:p>
      <w:pPr>
        <w:pStyle w:val="Compact"/>
        <w:numPr>
          <w:ilvl w:val="0"/>
          <w:numId w:val="1004"/>
        </w:numPr>
      </w:pPr>
      <w:r>
        <w:t xml:space="preserve">Database relationships</w:t>
      </w:r>
    </w:p>
    <w:p>
      <w:pPr>
        <w:pStyle w:val="Compact"/>
        <w:numPr>
          <w:ilvl w:val="0"/>
          <w:numId w:val="1004"/>
        </w:numPr>
      </w:pPr>
      <w:r>
        <w:t xml:space="preserve">API access boundaries</w:t>
      </w:r>
    </w:p>
    <w:p>
      <w:pPr>
        <w:pStyle w:val="FirstParagraph"/>
      </w:pPr>
      <w:r>
        <w:t xml:space="preserve">Never trust a client-provided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as an authorization mechanism.</w:t>
      </w:r>
    </w:p>
    <w:p>
      <w:pPr>
        <w:pStyle w:val="BodyText"/>
      </w:pPr>
      <w:r>
        <w:t xml:space="preserve">Never expose another tenant’s data.</w:t>
      </w:r>
    </w:p>
    <w:p>
      <w:pPr>
        <w:pStyle w:val="BodyText"/>
      </w:pPr>
      <w:r>
        <w:t xml:space="preserve">Never bypass tenant isolation to make a feature work.</w:t>
      </w:r>
    </w:p>
    <w:p>
      <w:r>
        <w:pict>
          <v:rect style="width:0;height:1.5pt" o:hralign="center" o:hrstd="t" o:hr="t"/>
        </w:pict>
      </w:r>
    </w:p>
    <w:bookmarkEnd w:id="13"/>
    <w:bookmarkStart w:id="15" w:name="supabase-and-database-rules"/>
    <w:p>
      <w:pPr>
        <w:pStyle w:val="Heading2"/>
      </w:pPr>
      <w:r>
        <w:t xml:space="preserve">5. Supabase and Database Rules</w:t>
      </w:r>
    </w:p>
    <w:p>
      <w:pPr>
        <w:pStyle w:val="FirstParagraph"/>
      </w:pPr>
      <w:r>
        <w:t xml:space="preserve">Supabase/PostgreSQL is a critical source of truth.</w:t>
      </w:r>
    </w:p>
    <w:p>
      <w:pPr>
        <w:pStyle w:val="BodyText"/>
      </w:pPr>
      <w:r>
        <w:t xml:space="preserve">Before changing the database:</w:t>
      </w:r>
    </w:p>
    <w:p>
      <w:pPr>
        <w:pStyle w:val="Compact"/>
        <w:numPr>
          <w:ilvl w:val="0"/>
          <w:numId w:val="1005"/>
        </w:numPr>
      </w:pPr>
      <w:r>
        <w:t xml:space="preserve">Inspect the existing schema.</w:t>
      </w:r>
    </w:p>
    <w:p>
      <w:pPr>
        <w:pStyle w:val="Compact"/>
        <w:numPr>
          <w:ilvl w:val="0"/>
          <w:numId w:val="1005"/>
        </w:numPr>
      </w:pPr>
      <w:r>
        <w:t xml:space="preserve">Check whether the required table/function already exists.</w:t>
      </w:r>
    </w:p>
    <w:p>
      <w:pPr>
        <w:pStyle w:val="Compact"/>
        <w:numPr>
          <w:ilvl w:val="0"/>
          <w:numId w:val="1005"/>
        </w:numPr>
      </w:pPr>
      <w:r>
        <w:t xml:space="preserve">Check relationships and foreign keys.</w:t>
      </w:r>
    </w:p>
    <w:p>
      <w:pPr>
        <w:pStyle w:val="Compact"/>
        <w:numPr>
          <w:ilvl w:val="0"/>
          <w:numId w:val="1005"/>
        </w:numPr>
      </w:pPr>
      <w:r>
        <w:t xml:space="preserve">Check RLS.</w:t>
      </w:r>
    </w:p>
    <w:p>
      <w:pPr>
        <w:pStyle w:val="Compact"/>
        <w:numPr>
          <w:ilvl w:val="0"/>
          <w:numId w:val="1005"/>
        </w:numPr>
      </w:pPr>
      <w:r>
        <w:t xml:space="preserve">Check existing policies.</w:t>
      </w:r>
    </w:p>
    <w:p>
      <w:pPr>
        <w:pStyle w:val="Compact"/>
        <w:numPr>
          <w:ilvl w:val="0"/>
          <w:numId w:val="1005"/>
        </w:numPr>
      </w:pPr>
      <w:r>
        <w:t xml:space="preserve">Consider indexes and query performance.</w:t>
      </w:r>
    </w:p>
    <w:p>
      <w:pPr>
        <w:pStyle w:val="Compact"/>
        <w:numPr>
          <w:ilvl w:val="0"/>
          <w:numId w:val="1005"/>
        </w:numPr>
      </w:pPr>
      <w:r>
        <w:t xml:space="preserve">Preserve existing application contracts.</w:t>
      </w:r>
    </w:p>
    <w:bookmarkStart w:id="14" w:name="never"/>
    <w:p>
      <w:pPr>
        <w:pStyle w:val="Heading3"/>
      </w:pPr>
      <w:r>
        <w:t xml:space="preserve">Never:</w:t>
      </w:r>
    </w:p>
    <w:p>
      <w:pPr>
        <w:pStyle w:val="Compact"/>
        <w:numPr>
          <w:ilvl w:val="0"/>
          <w:numId w:val="1006"/>
        </w:numPr>
      </w:pPr>
      <w:r>
        <w:t xml:space="preserve">Disable RLS to solve a development problem.</w:t>
      </w:r>
    </w:p>
    <w:p>
      <w:pPr>
        <w:pStyle w:val="Compact"/>
        <w:numPr>
          <w:ilvl w:val="0"/>
          <w:numId w:val="1006"/>
        </w:numPr>
      </w:pPr>
      <w:r>
        <w:t xml:space="preserve">Remove existing policies without understanding their purpose.</w:t>
      </w:r>
    </w:p>
    <w:p>
      <w:pPr>
        <w:pStyle w:val="Compact"/>
        <w:numPr>
          <w:ilvl w:val="0"/>
          <w:numId w:val="1006"/>
        </w:numPr>
      </w:pPr>
      <w:r>
        <w:t xml:space="preserve">Expose service-role credentials to the client.</w:t>
      </w:r>
    </w:p>
    <w:p>
      <w:pPr>
        <w:pStyle w:val="Compact"/>
        <w:numPr>
          <w:ilvl w:val="0"/>
          <w:numId w:val="1006"/>
        </w:numPr>
      </w:pPr>
      <w:r>
        <w:t xml:space="preserve">Create duplicate tables unnecessarily.</w:t>
      </w:r>
    </w:p>
    <w:p>
      <w:pPr>
        <w:pStyle w:val="Compact"/>
        <w:numPr>
          <w:ilvl w:val="0"/>
          <w:numId w:val="1006"/>
        </w:numPr>
      </w:pPr>
      <w:r>
        <w:t xml:space="preserve">Change database contracts silently.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curity-rules"/>
    <w:p>
      <w:pPr>
        <w:pStyle w:val="Heading2"/>
      </w:pPr>
      <w:r>
        <w:t xml:space="preserve">6. Security Rules</w:t>
      </w:r>
    </w:p>
    <w:p>
      <w:pPr>
        <w:pStyle w:val="FirstParagraph"/>
      </w:pPr>
      <w:r>
        <w:t xml:space="preserve">Never expose secrets or privileged credentials in frontend code.</w:t>
      </w:r>
    </w:p>
    <w:p>
      <w:pPr>
        <w:pStyle w:val="BodyText"/>
      </w:pPr>
      <w:r>
        <w:t xml:space="preserve">Never expose:</w:t>
      </w:r>
    </w:p>
    <w:p>
      <w:pPr>
        <w:pStyle w:val="Compact"/>
        <w:numPr>
          <w:ilvl w:val="0"/>
          <w:numId w:val="1007"/>
        </w:numPr>
      </w:pPr>
      <w:r>
        <w:t xml:space="preserve">Supabase service-role keys</w:t>
      </w:r>
    </w:p>
    <w:p>
      <w:pPr>
        <w:pStyle w:val="Compact"/>
        <w:numPr>
          <w:ilvl w:val="0"/>
          <w:numId w:val="1007"/>
        </w:numPr>
      </w:pPr>
      <w:r>
        <w:t xml:space="preserve">Provider API secrets</w:t>
      </w:r>
    </w:p>
    <w:p>
      <w:pPr>
        <w:pStyle w:val="Compact"/>
        <w:numPr>
          <w:ilvl w:val="0"/>
          <w:numId w:val="1007"/>
        </w:numPr>
      </w:pPr>
      <w:r>
        <w:t xml:space="preserve">Private keys</w:t>
      </w:r>
    </w:p>
    <w:p>
      <w:pPr>
        <w:pStyle w:val="Compact"/>
        <w:numPr>
          <w:ilvl w:val="0"/>
          <w:numId w:val="1007"/>
        </w:numPr>
      </w:pPr>
      <w:r>
        <w:t xml:space="preserve">Webhook secrets</w:t>
      </w:r>
    </w:p>
    <w:p>
      <w:pPr>
        <w:pStyle w:val="Compact"/>
        <w:numPr>
          <w:ilvl w:val="0"/>
          <w:numId w:val="1007"/>
        </w:numPr>
      </w:pPr>
      <w:r>
        <w:t xml:space="preserve">Payment secrets</w:t>
      </w:r>
    </w:p>
    <w:p>
      <w:pPr>
        <w:pStyle w:val="Compact"/>
        <w:numPr>
          <w:ilvl w:val="0"/>
          <w:numId w:val="1007"/>
        </w:numPr>
      </w:pPr>
      <w:r>
        <w:t xml:space="preserve">Access tokens</w:t>
      </w:r>
    </w:p>
    <w:p>
      <w:pPr>
        <w:pStyle w:val="FirstParagraph"/>
      </w:pPr>
      <w:r>
        <w:t xml:space="preserve">Never commit secrets to Git.</w:t>
      </w:r>
    </w:p>
    <w:p>
      <w:pPr>
        <w:pStyle w:val="BodyText"/>
      </w:pPr>
      <w:r>
        <w:t xml:space="preserve">Never rely on client-side authorization for sensitive operations.</w:t>
      </w:r>
    </w:p>
    <w:p>
      <w:pPr>
        <w:pStyle w:val="BodyText"/>
      </w:pPr>
      <w:r>
        <w:t xml:space="preserve">Security takes priority over convenience.</w:t>
      </w:r>
    </w:p>
    <w:p>
      <w:r>
        <w:pict>
          <v:rect style="width:0;height:1.5pt" o:hralign="center" o:hrstd="t" o:hr="t"/>
        </w:pict>
      </w:r>
    </w:p>
    <w:bookmarkEnd w:id="16"/>
    <w:bookmarkStart w:id="17" w:name="architectural-layers"/>
    <w:p>
      <w:pPr>
        <w:pStyle w:val="Heading2"/>
      </w:pPr>
      <w:r>
        <w:t xml:space="preserve">7. Architectural Layers</w:t>
      </w:r>
    </w:p>
    <w:p>
      <w:pPr>
        <w:pStyle w:val="FirstParagraph"/>
      </w:pPr>
      <w:r>
        <w:t xml:space="preserve">Respect the existing separation of responsibilities.</w:t>
      </w:r>
    </w:p>
    <w:p>
      <w:pPr>
        <w:pStyle w:val="BodyText"/>
      </w:pPr>
      <w:r>
        <w:t xml:space="preserve">Preferred flow: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/ 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/ 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/ External API</w:t>
      </w:r>
    </w:p>
    <w:p>
      <w:pPr>
        <w:pStyle w:val="FirstParagraph"/>
      </w:pPr>
      <w:r>
        <w:t xml:space="preserve">Do not put database queries, provider APIs, authorization logic, and business logic directly inside UI components unless the existing architecture explicitly requires it.</w:t>
      </w:r>
    </w:p>
    <w:p>
      <w:pPr>
        <w:pStyle w:val="BodyText"/>
      </w:pPr>
      <w:r>
        <w:t xml:space="preserve">Before creating a new service or abstraction, search for an existing one.</w:t>
      </w:r>
    </w:p>
    <w:p>
      <w:r>
        <w:pict>
          <v:rect style="width:0;height:1.5pt" o:hralign="center" o:hrstd="t" o:hr="t"/>
        </w:pict>
      </w:r>
    </w:p>
    <w:bookmarkEnd w:id="17"/>
    <w:bookmarkStart w:id="18" w:name="communication-architecture"/>
    <w:p>
      <w:pPr>
        <w:pStyle w:val="Heading2"/>
      </w:pPr>
      <w:r>
        <w:t xml:space="preserve">8. Communication Architecture</w:t>
      </w:r>
    </w:p>
    <w:p>
      <w:pPr>
        <w:pStyle w:val="FirstParagraph"/>
      </w:pPr>
      <w:r>
        <w:t xml:space="preserve">The Communication module is</w:t>
      </w:r>
      <w:r>
        <w:t xml:space="preserve"> </w:t>
      </w:r>
      <w:r>
        <w:rPr>
          <w:b/>
          <w:bCs/>
        </w:rPr>
        <w:t xml:space="preserve">provider-independent</w:t>
      </w:r>
      <w:r>
        <w:t xml:space="preserve">.</w:t>
      </w:r>
    </w:p>
    <w:p>
      <w:pPr>
        <w:pStyle w:val="BodyText"/>
      </w:pPr>
      <w:r>
        <w:t xml:space="preserve">Current navigation:</w:t>
      </w:r>
    </w:p>
    <w:p>
      <w:pPr>
        <w:pStyle w:val="SourceCode"/>
      </w:pPr>
      <w:r>
        <w:rPr>
          <w:rStyle w:val="VerbatimChar"/>
        </w:rPr>
        <w:t xml:space="preserve">Communication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Conversations</w:t>
      </w:r>
      <w:r>
        <w:br/>
      </w:r>
      <w:r>
        <w:rPr>
          <w:rStyle w:val="VerbatimChar"/>
        </w:rPr>
        <w:t xml:space="preserve">├── Campaigns</w:t>
      </w:r>
      <w:r>
        <w:br/>
      </w:r>
      <w:r>
        <w:rPr>
          <w:rStyle w:val="VerbatimChar"/>
        </w:rPr>
        <w:t xml:space="preserve">│   ├── Campaigns</w:t>
      </w:r>
      <w:r>
        <w:br/>
      </w:r>
      <w:r>
        <w:rPr>
          <w:rStyle w:val="VerbatimChar"/>
        </w:rPr>
        <w:t xml:space="preserve">│   ├── Contacts</w:t>
      </w:r>
      <w:r>
        <w:br/>
      </w:r>
      <w:r>
        <w:rPr>
          <w:rStyle w:val="VerbatimChar"/>
        </w:rPr>
        <w:t xml:space="preserve">│   └── Segments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├── Automation</w:t>
      </w:r>
      <w:r>
        <w:br/>
      </w:r>
      <w:r>
        <w:rPr>
          <w:rStyle w:val="VerbatimChar"/>
        </w:rPr>
        <w:t xml:space="preserve">└── Settings</w:t>
      </w:r>
    </w:p>
    <w:p>
      <w:pPr>
        <w:pStyle w:val="FirstParagraph"/>
      </w:pPr>
      <w:r>
        <w:t xml:space="preserve">WhatsApp is only one possible provider.</w:t>
      </w:r>
    </w:p>
    <w:p>
      <w:pPr>
        <w:pStyle w:val="BodyText"/>
      </w:pPr>
      <w:r>
        <w:t xml:space="preserve">Do not make generic Communication functionality dependent on WhatsApp-specific assumptions.</w:t>
      </w:r>
    </w:p>
    <w:p>
      <w:pPr>
        <w:pStyle w:val="BodyText"/>
      </w:pPr>
      <w:r>
        <w:t xml:space="preserve">Future providers may include:</w:t>
      </w:r>
    </w:p>
    <w:p>
      <w:pPr>
        <w:pStyle w:val="Compact"/>
        <w:numPr>
          <w:ilvl w:val="0"/>
          <w:numId w:val="1008"/>
        </w:numPr>
      </w:pPr>
      <w:r>
        <w:t xml:space="preserve">WhatsApp</w:t>
      </w:r>
    </w:p>
    <w:p>
      <w:pPr>
        <w:pStyle w:val="Compact"/>
        <w:numPr>
          <w:ilvl w:val="0"/>
          <w:numId w:val="1008"/>
        </w:numPr>
      </w:pPr>
      <w:r>
        <w:t xml:space="preserve">Instagram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SMS</w:t>
      </w:r>
    </w:p>
    <w:p>
      <w:pPr>
        <w:pStyle w:val="Compact"/>
        <w:numPr>
          <w:ilvl w:val="0"/>
          <w:numId w:val="1008"/>
        </w:numPr>
      </w:pPr>
      <w:r>
        <w:t xml:space="preserve">Telegram</w:t>
      </w:r>
    </w:p>
    <w:p>
      <w:pPr>
        <w:pStyle w:val="Compact"/>
        <w:numPr>
          <w:ilvl w:val="0"/>
          <w:numId w:val="1008"/>
        </w:numPr>
      </w:pPr>
      <w:r>
        <w:t xml:space="preserve">Other providers</w:t>
      </w:r>
    </w:p>
    <w:p>
      <w:pPr>
        <w:pStyle w:val="FirstParagraph"/>
      </w:pPr>
      <w:r>
        <w:t xml:space="preserve">Provider-specific behavior belongs inside the provider architecture.</w:t>
      </w:r>
    </w:p>
    <w:p>
      <w:r>
        <w:pict>
          <v:rect style="width:0;height:1.5pt" o:hralign="center" o:hrstd="t" o:hr="t"/>
        </w:pict>
      </w:r>
    </w:p>
    <w:bookmarkEnd w:id="18"/>
    <w:bookmarkStart w:id="19" w:name="automation"/>
    <w:p>
      <w:pPr>
        <w:pStyle w:val="Heading2"/>
      </w:pPr>
      <w:r>
        <w:t xml:space="preserve">9. Automation</w:t>
      </w:r>
    </w:p>
    <w:p>
      <w:pPr>
        <w:pStyle w:val="FirstParagraph"/>
      </w:pPr>
      <w:r>
        <w:t xml:space="preserve">Automation uses a</w:t>
      </w:r>
      <w:r>
        <w:t xml:space="preserve"> </w:t>
      </w:r>
      <w:r>
        <w:rPr>
          <w:b/>
          <w:bCs/>
        </w:rPr>
        <w:t xml:space="preserve">step-based workflow architecture</w:t>
      </w:r>
      <w:r>
        <w:t xml:space="preserve">.</w:t>
      </w:r>
    </w:p>
    <w:p>
      <w:pPr>
        <w:pStyle w:val="BodyText"/>
      </w:pPr>
      <w:r>
        <w:t xml:space="preserve">Do not introduce a drag-and-drop workflow builder unless explicitly requested and architecturally approved.</w:t>
      </w:r>
    </w:p>
    <w:p>
      <w:pPr>
        <w:pStyle w:val="BodyText"/>
      </w:pPr>
      <w:r>
        <w:t xml:space="preserve">Automation must remain:</w:t>
      </w:r>
    </w:p>
    <w:p>
      <w:pPr>
        <w:pStyle w:val="Compact"/>
        <w:numPr>
          <w:ilvl w:val="0"/>
          <w:numId w:val="1009"/>
        </w:numPr>
      </w:pPr>
      <w:r>
        <w:t xml:space="preserve">Tenant-safe</w:t>
      </w:r>
    </w:p>
    <w:p>
      <w:pPr>
        <w:pStyle w:val="Compact"/>
        <w:numPr>
          <w:ilvl w:val="0"/>
          <w:numId w:val="1009"/>
        </w:numPr>
      </w:pPr>
      <w:r>
        <w:t xml:space="preserve">Traceable</w:t>
      </w:r>
    </w:p>
    <w:p>
      <w:pPr>
        <w:pStyle w:val="Compact"/>
        <w:numPr>
          <w:ilvl w:val="0"/>
          <w:numId w:val="1009"/>
        </w:numPr>
      </w:pPr>
      <w:r>
        <w:t xml:space="preserve">Deterministic</w:t>
      </w:r>
    </w:p>
    <w:p>
      <w:pPr>
        <w:pStyle w:val="Compact"/>
        <w:numPr>
          <w:ilvl w:val="0"/>
          <w:numId w:val="1009"/>
        </w:numPr>
      </w:pPr>
      <w:r>
        <w:t xml:space="preserve">Observable</w:t>
      </w:r>
    </w:p>
    <w:p>
      <w:pPr>
        <w:pStyle w:val="Compact"/>
        <w:numPr>
          <w:ilvl w:val="0"/>
          <w:numId w:val="1009"/>
        </w:numPr>
      </w:pPr>
      <w:r>
        <w:t xml:space="preserve">Provider-independent</w:t>
      </w:r>
    </w:p>
    <w:p>
      <w:pPr>
        <w:pStyle w:val="Compact"/>
        <w:numPr>
          <w:ilvl w:val="0"/>
          <w:numId w:val="1009"/>
        </w:numPr>
      </w:pPr>
      <w:r>
        <w:t xml:space="preserve">Failure-aware</w:t>
      </w:r>
    </w:p>
    <w:p>
      <w:pPr>
        <w:pStyle w:val="FirstParagraph"/>
      </w:pPr>
      <w:r>
        <w:t xml:space="preserve">External operations should account for retries, failures, rate limits, and duplicate execution where appropriate.</w:t>
      </w:r>
    </w:p>
    <w:p>
      <w:r>
        <w:pict>
          <v:rect style="width:0;height:1.5pt" o:hralign="center" o:hrstd="t" o:hr="t"/>
        </w:pict>
      </w:r>
    </w:p>
    <w:bookmarkEnd w:id="19"/>
    <w:bookmarkStart w:id="20" w:name="frontend-rules"/>
    <w:p>
      <w:pPr>
        <w:pStyle w:val="Heading2"/>
      </w:pPr>
      <w:r>
        <w:t xml:space="preserve">10. Frontend Rules</w:t>
      </w:r>
    </w:p>
    <w:p>
      <w:pPr>
        <w:pStyle w:val="FirstParagraph"/>
      </w:pPr>
      <w:r>
        <w:t xml:space="preserve">The UI should follow the EvolvNex design direction:</w:t>
      </w:r>
    </w:p>
    <w:p>
      <w:pPr>
        <w:pStyle w:val="Compact"/>
        <w:numPr>
          <w:ilvl w:val="0"/>
          <w:numId w:val="1010"/>
        </w:numPr>
      </w:pPr>
      <w:r>
        <w:t xml:space="preserve">Premium SaaS</w:t>
      </w:r>
    </w:p>
    <w:p>
      <w:pPr>
        <w:pStyle w:val="Compact"/>
        <w:numPr>
          <w:ilvl w:val="0"/>
          <w:numId w:val="1010"/>
        </w:numPr>
      </w:pPr>
      <w:r>
        <w:t xml:space="preserve">Minimal</w:t>
      </w:r>
    </w:p>
    <w:p>
      <w:pPr>
        <w:pStyle w:val="Compact"/>
        <w:numPr>
          <w:ilvl w:val="0"/>
          <w:numId w:val="1010"/>
        </w:numPr>
      </w:pPr>
      <w:r>
        <w:t xml:space="preserve">Modern</w:t>
      </w:r>
    </w:p>
    <w:p>
      <w:pPr>
        <w:pStyle w:val="Compact"/>
        <w:numPr>
          <w:ilvl w:val="0"/>
          <w:numId w:val="1010"/>
        </w:numPr>
      </w:pPr>
      <w:r>
        <w:t xml:space="preserve">Mobile-first</w:t>
      </w:r>
    </w:p>
    <w:p>
      <w:pPr>
        <w:pStyle w:val="Compact"/>
        <w:numPr>
          <w:ilvl w:val="0"/>
          <w:numId w:val="1010"/>
        </w:numPr>
      </w:pPr>
      <w:r>
        <w:t xml:space="preserve">Dark-theme-first</w:t>
      </w:r>
    </w:p>
    <w:p>
      <w:pPr>
        <w:pStyle w:val="Compact"/>
        <w:numPr>
          <w:ilvl w:val="0"/>
          <w:numId w:val="1010"/>
        </w:numPr>
      </w:pPr>
      <w:r>
        <w:t xml:space="preserve">Clear hierarchy</w:t>
      </w:r>
    </w:p>
    <w:p>
      <w:pPr>
        <w:pStyle w:val="Compact"/>
        <w:numPr>
          <w:ilvl w:val="0"/>
          <w:numId w:val="1010"/>
        </w:numPr>
      </w:pPr>
      <w:r>
        <w:t xml:space="preserve">Consistent components</w:t>
      </w:r>
    </w:p>
    <w:p>
      <w:pPr>
        <w:pStyle w:val="FirstParagraph"/>
      </w:pPr>
      <w:r>
        <w:t xml:space="preserve">Before creating a component:</w:t>
      </w:r>
    </w:p>
    <w:p>
      <w:pPr>
        <w:pStyle w:val="Compact"/>
        <w:numPr>
          <w:ilvl w:val="0"/>
          <w:numId w:val="1011"/>
        </w:numPr>
      </w:pPr>
      <w:r>
        <w:t xml:space="preserve">Search for an existing component.</w:t>
      </w:r>
    </w:p>
    <w:p>
      <w:pPr>
        <w:pStyle w:val="Compact"/>
        <w:numPr>
          <w:ilvl w:val="0"/>
          <w:numId w:val="1011"/>
        </w:numPr>
      </w:pPr>
      <w:r>
        <w:t xml:space="preserve">Reuse it if possible.</w:t>
      </w:r>
    </w:p>
    <w:p>
      <w:pPr>
        <w:pStyle w:val="Compact"/>
        <w:numPr>
          <w:ilvl w:val="0"/>
          <w:numId w:val="1011"/>
        </w:numPr>
      </w:pPr>
      <w:r>
        <w:t xml:space="preserve">Extend it if the behavior is reusable.</w:t>
      </w:r>
    </w:p>
    <w:p>
      <w:pPr>
        <w:pStyle w:val="Compact"/>
        <w:numPr>
          <w:ilvl w:val="0"/>
          <w:numId w:val="1011"/>
        </w:numPr>
      </w:pPr>
      <w:r>
        <w:t xml:space="preserve">Create a new component only when necessary.</w:t>
      </w:r>
    </w:p>
    <w:p>
      <w:pPr>
        <w:pStyle w:val="FirstParagraph"/>
      </w:pPr>
      <w:r>
        <w:t xml:space="preserve">Avoid duplicate UI implementations.</w:t>
      </w:r>
    </w:p>
    <w:p>
      <w:r>
        <w:pict>
          <v:rect style="width:0;height:1.5pt" o:hralign="center" o:hrstd="t" o:hr="t"/>
        </w:pict>
      </w:r>
    </w:p>
    <w:bookmarkEnd w:id="20"/>
    <w:bookmarkStart w:id="21" w:name="api-and-external-service-rules"/>
    <w:p>
      <w:pPr>
        <w:pStyle w:val="Heading2"/>
      </w:pPr>
      <w:r>
        <w:t xml:space="preserve">11. API and External Service Rules</w:t>
      </w:r>
    </w:p>
    <w:p>
      <w:pPr>
        <w:pStyle w:val="FirstParagraph"/>
      </w:pPr>
      <w:r>
        <w:t xml:space="preserve">All external integrations must assume that failures can occur.</w:t>
      </w:r>
    </w:p>
    <w:p>
      <w:pPr>
        <w:pStyle w:val="BodyText"/>
      </w:pPr>
      <w:r>
        <w:t xml:space="preserve">Handle appropriately:</w:t>
      </w:r>
    </w:p>
    <w:p>
      <w:pPr>
        <w:pStyle w:val="Compact"/>
        <w:numPr>
          <w:ilvl w:val="0"/>
          <w:numId w:val="1012"/>
        </w:numPr>
      </w:pPr>
      <w:r>
        <w:t xml:space="preserve">Authentication failures</w:t>
      </w:r>
    </w:p>
    <w:p>
      <w:pPr>
        <w:pStyle w:val="Compact"/>
        <w:numPr>
          <w:ilvl w:val="0"/>
          <w:numId w:val="1012"/>
        </w:numPr>
      </w:pPr>
      <w:r>
        <w:t xml:space="preserve">Timeouts</w:t>
      </w:r>
    </w:p>
    <w:p>
      <w:pPr>
        <w:pStyle w:val="Compact"/>
        <w:numPr>
          <w:ilvl w:val="0"/>
          <w:numId w:val="1012"/>
        </w:numPr>
      </w:pPr>
      <w:r>
        <w:t xml:space="preserve">Rate limits</w:t>
      </w:r>
    </w:p>
    <w:p>
      <w:pPr>
        <w:pStyle w:val="Compact"/>
        <w:numPr>
          <w:ilvl w:val="0"/>
          <w:numId w:val="1012"/>
        </w:numPr>
      </w:pPr>
      <w:r>
        <w:t xml:space="preserve">Invalid payloads</w:t>
      </w:r>
    </w:p>
    <w:p>
      <w:pPr>
        <w:pStyle w:val="Compact"/>
        <w:numPr>
          <w:ilvl w:val="0"/>
          <w:numId w:val="1012"/>
        </w:numPr>
      </w:pPr>
      <w:r>
        <w:t xml:space="preserve">Provider errors</w:t>
      </w:r>
    </w:p>
    <w:p>
      <w:pPr>
        <w:pStyle w:val="Compact"/>
        <w:numPr>
          <w:ilvl w:val="0"/>
          <w:numId w:val="1012"/>
        </w:numPr>
      </w:pPr>
      <w:r>
        <w:t xml:space="preserve">Duplicate requests</w:t>
      </w:r>
    </w:p>
    <w:p>
      <w:pPr>
        <w:pStyle w:val="Compact"/>
        <w:numPr>
          <w:ilvl w:val="0"/>
          <w:numId w:val="1012"/>
        </w:numPr>
      </w:pPr>
      <w:r>
        <w:t xml:space="preserve">Partial failures</w:t>
      </w:r>
    </w:p>
    <w:p>
      <w:pPr>
        <w:pStyle w:val="FirstParagraph"/>
      </w:pPr>
      <w:r>
        <w:t xml:space="preserve">Never assume that an external API call succeeded merely because the request was sent.</w:t>
      </w:r>
    </w:p>
    <w:p>
      <w:pPr>
        <w:pStyle w:val="BodyText"/>
      </w:pPr>
      <w:r>
        <w:t xml:space="preserve">Where appropriate, use:</w:t>
      </w:r>
    </w:p>
    <w:p>
      <w:pPr>
        <w:pStyle w:val="Compact"/>
        <w:numPr>
          <w:ilvl w:val="0"/>
          <w:numId w:val="1013"/>
        </w:numPr>
      </w:pPr>
      <w:r>
        <w:t xml:space="preserve">Idempotency</w:t>
      </w:r>
    </w:p>
    <w:p>
      <w:pPr>
        <w:pStyle w:val="Compact"/>
        <w:numPr>
          <w:ilvl w:val="0"/>
          <w:numId w:val="1013"/>
        </w:numPr>
      </w:pPr>
      <w:r>
        <w:t xml:space="preserve">Retries</w:t>
      </w:r>
    </w:p>
    <w:p>
      <w:pPr>
        <w:pStyle w:val="Compact"/>
        <w:numPr>
          <w:ilvl w:val="0"/>
          <w:numId w:val="1013"/>
        </w:numPr>
      </w:pPr>
      <w:r>
        <w:t xml:space="preserve">Queues</w:t>
      </w:r>
    </w:p>
    <w:p>
      <w:pPr>
        <w:pStyle w:val="Compact"/>
        <w:numPr>
          <w:ilvl w:val="0"/>
          <w:numId w:val="1013"/>
        </w:numPr>
      </w:pPr>
      <w:r>
        <w:t xml:space="preserve">Status tracking</w:t>
      </w:r>
    </w:p>
    <w:p>
      <w:pPr>
        <w:pStyle w:val="Compact"/>
        <w:numPr>
          <w:ilvl w:val="0"/>
          <w:numId w:val="1013"/>
        </w:numPr>
      </w:pPr>
      <w:r>
        <w:t xml:space="preserve">Error logging</w:t>
      </w:r>
    </w:p>
    <w:p>
      <w:r>
        <w:pict>
          <v:rect style="width:0;height:1.5pt" o:hralign="center" o:hrstd="t" o:hr="t"/>
        </w:pict>
      </w:r>
    </w:p>
    <w:bookmarkEnd w:id="21"/>
    <w:bookmarkStart w:id="22" w:name="webhooks"/>
    <w:p>
      <w:pPr>
        <w:pStyle w:val="Heading2"/>
      </w:pPr>
      <w:r>
        <w:t xml:space="preserve">12. Webhooks</w:t>
      </w:r>
    </w:p>
    <w:p>
      <w:pPr>
        <w:pStyle w:val="FirstParagraph"/>
      </w:pPr>
      <w:r>
        <w:t xml:space="preserve">Webhook handlers must be designed for:</w:t>
      </w:r>
    </w:p>
    <w:p>
      <w:pPr>
        <w:pStyle w:val="Compact"/>
        <w:numPr>
          <w:ilvl w:val="0"/>
          <w:numId w:val="1014"/>
        </w:numPr>
      </w:pPr>
      <w:r>
        <w:t xml:space="preserve">Duplicate events</w:t>
      </w:r>
    </w:p>
    <w:p>
      <w:pPr>
        <w:pStyle w:val="Compact"/>
        <w:numPr>
          <w:ilvl w:val="0"/>
          <w:numId w:val="1014"/>
        </w:numPr>
      </w:pPr>
      <w:r>
        <w:t xml:space="preserve">Retries</w:t>
      </w:r>
    </w:p>
    <w:p>
      <w:pPr>
        <w:pStyle w:val="Compact"/>
        <w:numPr>
          <w:ilvl w:val="0"/>
          <w:numId w:val="1014"/>
        </w:numPr>
      </w:pPr>
      <w:r>
        <w:t xml:space="preserve">Invalid requests</w:t>
      </w:r>
    </w:p>
    <w:p>
      <w:pPr>
        <w:pStyle w:val="Compact"/>
        <w:numPr>
          <w:ilvl w:val="0"/>
          <w:numId w:val="1014"/>
        </w:numPr>
      </w:pPr>
      <w:r>
        <w:t xml:space="preserve">Delayed events</w:t>
      </w:r>
    </w:p>
    <w:p>
      <w:pPr>
        <w:pStyle w:val="Compact"/>
        <w:numPr>
          <w:ilvl w:val="0"/>
          <w:numId w:val="1014"/>
        </w:numPr>
      </w:pPr>
      <w:r>
        <w:t xml:space="preserve">Out-of-order events</w:t>
      </w:r>
    </w:p>
    <w:p>
      <w:pPr>
        <w:pStyle w:val="FirstParagraph"/>
      </w:pPr>
      <w:r>
        <w:t xml:space="preserve">Validate and authenticate webhook requests.</w:t>
      </w:r>
    </w:p>
    <w:p>
      <w:pPr>
        <w:pStyle w:val="BodyText"/>
      </w:pPr>
      <w:r>
        <w:t xml:space="preserve">Make processing idempotent where required.</w:t>
      </w:r>
    </w:p>
    <w:p>
      <w:pPr>
        <w:pStyle w:val="BodyText"/>
      </w:pPr>
      <w:r>
        <w:t xml:space="preserve">Never blindly trust webhook payloads.</w:t>
      </w:r>
    </w:p>
    <w:p>
      <w:r>
        <w:pict>
          <v:rect style="width:0;height:1.5pt" o:hralign="center" o:hrstd="t" o:hr="t"/>
        </w:pict>
      </w:r>
    </w:p>
    <w:bookmarkEnd w:id="22"/>
    <w:bookmarkStart w:id="23" w:name="existing-code-first"/>
    <w:p>
      <w:pPr>
        <w:pStyle w:val="Heading2"/>
      </w:pPr>
      <w:r>
        <w:t xml:space="preserve">13. Existing Code First</w:t>
      </w:r>
    </w:p>
    <w:p>
      <w:pPr>
        <w:pStyle w:val="FirstParagraph"/>
      </w:pPr>
      <w:r>
        <w:t xml:space="preserve">Before implementing anything new: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Understand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Reuse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Extend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 only if necessary</w:t>
      </w:r>
    </w:p>
    <w:p>
      <w:pPr>
        <w:pStyle w:val="FirstParagraph"/>
      </w:pPr>
      <w:r>
        <w:t xml:space="preserve">Do not create new:</w:t>
      </w:r>
    </w:p>
    <w:p>
      <w:pPr>
        <w:pStyle w:val="Compact"/>
        <w:numPr>
          <w:ilvl w:val="0"/>
          <w:numId w:val="1015"/>
        </w:numPr>
      </w:pPr>
      <w:r>
        <w:t xml:space="preserve">Services</w:t>
      </w:r>
    </w:p>
    <w:p>
      <w:pPr>
        <w:pStyle w:val="Compact"/>
        <w:numPr>
          <w:ilvl w:val="0"/>
          <w:numId w:val="1015"/>
        </w:numPr>
      </w:pPr>
      <w:r>
        <w:t xml:space="preserve">Utilities</w:t>
      </w:r>
    </w:p>
    <w:p>
      <w:pPr>
        <w:pStyle w:val="Compact"/>
        <w:numPr>
          <w:ilvl w:val="0"/>
          <w:numId w:val="1015"/>
        </w:numPr>
      </w:pPr>
      <w:r>
        <w:t xml:space="preserve">Components</w:t>
      </w:r>
    </w:p>
    <w:p>
      <w:pPr>
        <w:pStyle w:val="Compact"/>
        <w:numPr>
          <w:ilvl w:val="0"/>
          <w:numId w:val="1015"/>
        </w:numPr>
      </w:pPr>
      <w:r>
        <w:t xml:space="preserve">Database tables</w:t>
      </w:r>
    </w:p>
    <w:p>
      <w:pPr>
        <w:pStyle w:val="Compact"/>
        <w:numPr>
          <w:ilvl w:val="0"/>
          <w:numId w:val="1015"/>
        </w:numPr>
      </w:pPr>
      <w:r>
        <w:t xml:space="preserve">API routes</w:t>
      </w:r>
    </w:p>
    <w:p>
      <w:pPr>
        <w:pStyle w:val="Compact"/>
        <w:numPr>
          <w:ilvl w:val="0"/>
          <w:numId w:val="1015"/>
        </w:numPr>
      </w:pPr>
      <w:r>
        <w:t xml:space="preserve">Providers</w:t>
      </w:r>
    </w:p>
    <w:p>
      <w:pPr>
        <w:pStyle w:val="Compact"/>
        <w:numPr>
          <w:ilvl w:val="0"/>
          <w:numId w:val="1015"/>
        </w:numPr>
      </w:pPr>
      <w:r>
        <w:t xml:space="preserve">Hooks</w:t>
      </w:r>
    </w:p>
    <w:p>
      <w:pPr>
        <w:pStyle w:val="Compact"/>
        <w:numPr>
          <w:ilvl w:val="0"/>
          <w:numId w:val="1015"/>
        </w:numPr>
      </w:pPr>
      <w:r>
        <w:t xml:space="preserve">Types</w:t>
      </w:r>
    </w:p>
    <w:p>
      <w:pPr>
        <w:pStyle w:val="FirstParagraph"/>
      </w:pPr>
      <w:r>
        <w:t xml:space="preserve">without first checking whether an equivalent already exists.</w:t>
      </w:r>
    </w:p>
    <w:p>
      <w:r>
        <w:pict>
          <v:rect style="width:0;height:1.5pt" o:hralign="center" o:hrstd="t" o:hr="t"/>
        </w:pict>
      </w:r>
    </w:p>
    <w:bookmarkEnd w:id="23"/>
    <w:bookmarkStart w:id="24" w:name="minimal-change-principle"/>
    <w:p>
      <w:pPr>
        <w:pStyle w:val="Heading2"/>
      </w:pPr>
      <w:r>
        <w:t xml:space="preserve">14. Minimal Change Principle</w:t>
      </w:r>
    </w:p>
    <w:p>
      <w:pPr>
        <w:pStyle w:val="FirstParagraph"/>
      </w:pPr>
      <w:r>
        <w:t xml:space="preserve">Prefer the smallest correct change.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16"/>
        </w:numPr>
      </w:pPr>
      <w:r>
        <w:t xml:space="preserve">Rewrite unrelated files.</w:t>
      </w:r>
    </w:p>
    <w:p>
      <w:pPr>
        <w:pStyle w:val="Compact"/>
        <w:numPr>
          <w:ilvl w:val="0"/>
          <w:numId w:val="1016"/>
        </w:numPr>
      </w:pPr>
      <w:r>
        <w:t xml:space="preserve">Refactor unrelated code.</w:t>
      </w:r>
    </w:p>
    <w:p>
      <w:pPr>
        <w:pStyle w:val="Compact"/>
        <w:numPr>
          <w:ilvl w:val="0"/>
          <w:numId w:val="1016"/>
        </w:numPr>
      </w:pPr>
      <w:r>
        <w:t xml:space="preserve">Rename things unnecessarily.</w:t>
      </w:r>
    </w:p>
    <w:p>
      <w:pPr>
        <w:pStyle w:val="Compact"/>
        <w:numPr>
          <w:ilvl w:val="0"/>
          <w:numId w:val="1016"/>
        </w:numPr>
      </w:pPr>
      <w:r>
        <w:t xml:space="preserve">Replace working libraries.</w:t>
      </w:r>
    </w:p>
    <w:p>
      <w:pPr>
        <w:pStyle w:val="Compact"/>
        <w:numPr>
          <w:ilvl w:val="0"/>
          <w:numId w:val="1016"/>
        </w:numPr>
      </w:pPr>
      <w:r>
        <w:t xml:space="preserve">Change architecture without approval.</w:t>
      </w:r>
    </w:p>
    <w:p>
      <w:pPr>
        <w:pStyle w:val="Compact"/>
        <w:numPr>
          <w:ilvl w:val="0"/>
          <w:numId w:val="1016"/>
        </w:numPr>
      </w:pPr>
      <w:r>
        <w:t xml:space="preserve">Remove existing functionality because it appears unused.</w:t>
      </w:r>
    </w:p>
    <w:p>
      <w:pPr>
        <w:pStyle w:val="Compact"/>
        <w:numPr>
          <w:ilvl w:val="0"/>
          <w:numId w:val="1016"/>
        </w:numPr>
      </w:pPr>
      <w:r>
        <w:t xml:space="preserve">Modify unrelated database structures.</w:t>
      </w:r>
    </w:p>
    <w:p>
      <w:pPr>
        <w:pStyle w:val="FirstParagraph"/>
      </w:pPr>
      <w:r>
        <w:t xml:space="preserve">A bug fix should fix the bug.</w:t>
      </w:r>
    </w:p>
    <w:p>
      <w:pPr>
        <w:pStyle w:val="BodyText"/>
      </w:pPr>
      <w:r>
        <w:t xml:space="preserve">A feature should implement the feature.</w:t>
      </w:r>
    </w:p>
    <w:p>
      <w:r>
        <w:pict>
          <v:rect style="width:0;height:1.5pt" o:hralign="center" o:hrstd="t" o:hr="t"/>
        </w:pict>
      </w:r>
    </w:p>
    <w:bookmarkEnd w:id="24"/>
    <w:bookmarkStart w:id="25" w:name="ai-agent-behavior"/>
    <w:p>
      <w:pPr>
        <w:pStyle w:val="Heading2"/>
      </w:pPr>
      <w:r>
        <w:t xml:space="preserve">15. AI Agent Behavior</w:t>
      </w:r>
    </w:p>
    <w:p>
      <w:pPr>
        <w:pStyle w:val="FirstParagraph"/>
      </w:pPr>
      <w:r>
        <w:t xml:space="preserve">AI agents are implementation assistants,</w:t>
      </w:r>
      <w:r>
        <w:t xml:space="preserve"> </w:t>
      </w:r>
      <w:r>
        <w:rPr>
          <w:b/>
          <w:bCs/>
        </w:rPr>
        <w:t xml:space="preserve">not architectural authorities</w:t>
      </w:r>
      <w:r>
        <w:t xml:space="preserve">.</w:t>
      </w:r>
    </w:p>
    <w:p>
      <w:pPr>
        <w:pStyle w:val="BodyText"/>
      </w:pPr>
      <w:r>
        <w:t xml:space="preserve">Agents must:</w:t>
      </w:r>
    </w:p>
    <w:p>
      <w:pPr>
        <w:pStyle w:val="Compact"/>
        <w:numPr>
          <w:ilvl w:val="0"/>
          <w:numId w:val="1017"/>
        </w:numPr>
      </w:pPr>
      <w:r>
        <w:t xml:space="preserve">Inspect before modifying.</w:t>
      </w:r>
    </w:p>
    <w:p>
      <w:pPr>
        <w:pStyle w:val="Compact"/>
        <w:numPr>
          <w:ilvl w:val="0"/>
          <w:numId w:val="1017"/>
        </w:numPr>
      </w:pPr>
      <w:r>
        <w:t xml:space="preserve">Follow existing patterns.</w:t>
      </w:r>
    </w:p>
    <w:p>
      <w:pPr>
        <w:pStyle w:val="Compact"/>
        <w:numPr>
          <w:ilvl w:val="0"/>
          <w:numId w:val="1017"/>
        </w:numPr>
      </w:pPr>
      <w:r>
        <w:t xml:space="preserve">Preserve security.</w:t>
      </w:r>
    </w:p>
    <w:p>
      <w:pPr>
        <w:pStyle w:val="Compact"/>
        <w:numPr>
          <w:ilvl w:val="0"/>
          <w:numId w:val="1017"/>
        </w:numPr>
      </w:pPr>
      <w:r>
        <w:t xml:space="preserve">Preserve tenant isolation.</w:t>
      </w:r>
    </w:p>
    <w:p>
      <w:pPr>
        <w:pStyle w:val="Compact"/>
        <w:numPr>
          <w:ilvl w:val="0"/>
          <w:numId w:val="1017"/>
        </w:numPr>
      </w:pPr>
      <w:r>
        <w:t xml:space="preserve">Preserve existing contracts.</w:t>
      </w:r>
    </w:p>
    <w:p>
      <w:pPr>
        <w:pStyle w:val="Compact"/>
        <w:numPr>
          <w:ilvl w:val="0"/>
          <w:numId w:val="1017"/>
        </w:numPr>
      </w:pPr>
      <w:r>
        <w:t xml:space="preserve">Avoid unnecessary complexity.</w:t>
      </w:r>
    </w:p>
    <w:p>
      <w:pPr>
        <w:pStyle w:val="Compact"/>
        <w:numPr>
          <w:ilvl w:val="0"/>
          <w:numId w:val="1017"/>
        </w:numPr>
      </w:pPr>
      <w:r>
        <w:t xml:space="preserve">Explain significant architectural changes.</w:t>
      </w:r>
    </w:p>
    <w:p>
      <w:pPr>
        <w:pStyle w:val="Compact"/>
        <w:numPr>
          <w:ilvl w:val="0"/>
          <w:numId w:val="1017"/>
        </w:numPr>
      </w:pPr>
      <w:r>
        <w:t xml:space="preserve">Flag conflicts instead of silently choosing an architecture.</w:t>
      </w:r>
    </w:p>
    <w:p>
      <w:pPr>
        <w:pStyle w:val="FirstParagraph"/>
      </w:pPr>
      <w:r>
        <w:t xml:space="preserve">Do not claim that something is implemented, tested, migrated, or deployed unless it actually has been.</w:t>
      </w:r>
    </w:p>
    <w:p>
      <w:pPr>
        <w:pStyle w:val="BodyText"/>
      </w:pPr>
      <w:r>
        <w:t xml:space="preserve">Do not fabricate database tables, APIs, environment variables, provider capabilities, or configuration.</w:t>
      </w:r>
    </w:p>
    <w:p>
      <w:r>
        <w:pict>
          <v:rect style="width:0;height:1.5pt" o:hralign="center" o:hrstd="t" o:hr="t"/>
        </w:pict>
      </w:r>
    </w:p>
    <w:bookmarkEnd w:id="25"/>
    <w:bookmarkStart w:id="26" w:name="when-requirements-are-ambiguous"/>
    <w:p>
      <w:pPr>
        <w:pStyle w:val="Heading2"/>
      </w:pPr>
      <w:r>
        <w:t xml:space="preserve">16. When Requirements Are Ambiguous</w:t>
      </w:r>
    </w:p>
    <w:p>
      <w:pPr>
        <w:pStyle w:val="FirstParagraph"/>
      </w:pPr>
      <w:r>
        <w:t xml:space="preserve">If the ambiguity affects:</w:t>
      </w:r>
    </w:p>
    <w:p>
      <w:pPr>
        <w:pStyle w:val="Compact"/>
        <w:numPr>
          <w:ilvl w:val="0"/>
          <w:numId w:val="1018"/>
        </w:numPr>
      </w:pPr>
      <w:r>
        <w:t xml:space="preserve">Database architecture</w:t>
      </w:r>
    </w:p>
    <w:p>
      <w:pPr>
        <w:pStyle w:val="Compact"/>
        <w:numPr>
          <w:ilvl w:val="0"/>
          <w:numId w:val="1018"/>
        </w:numPr>
      </w:pPr>
      <w:r>
        <w:t xml:space="preserve">Tenant isolation</w:t>
      </w:r>
    </w:p>
    <w:p>
      <w:pPr>
        <w:pStyle w:val="Compact"/>
        <w:numPr>
          <w:ilvl w:val="0"/>
          <w:numId w:val="1018"/>
        </w:numPr>
      </w:pPr>
      <w:r>
        <w:t xml:space="preserve">Authentication</w:t>
      </w:r>
    </w:p>
    <w:p>
      <w:pPr>
        <w:pStyle w:val="Compact"/>
        <w:numPr>
          <w:ilvl w:val="0"/>
          <w:numId w:val="1018"/>
        </w:numPr>
      </w:pPr>
      <w:r>
        <w:t xml:space="preserve">Authorization</w:t>
      </w:r>
    </w:p>
    <w:p>
      <w:pPr>
        <w:pStyle w:val="Compact"/>
        <w:numPr>
          <w:ilvl w:val="0"/>
          <w:numId w:val="1018"/>
        </w:numPr>
      </w:pPr>
      <w:r>
        <w:t xml:space="preserve">Provider architecture</w:t>
      </w:r>
    </w:p>
    <w:p>
      <w:pPr>
        <w:pStyle w:val="Compact"/>
        <w:numPr>
          <w:ilvl w:val="0"/>
          <w:numId w:val="1018"/>
        </w:numPr>
      </w:pPr>
      <w:r>
        <w:t xml:space="preserve">API contracts</w:t>
      </w:r>
    </w:p>
    <w:p>
      <w:pPr>
        <w:pStyle w:val="Compact"/>
        <w:numPr>
          <w:ilvl w:val="0"/>
          <w:numId w:val="1018"/>
        </w:numPr>
      </w:pPr>
      <w:r>
        <w:t xml:space="preserve">Payment behavior</w:t>
      </w:r>
    </w:p>
    <w:p>
      <w:pPr>
        <w:pStyle w:val="Compact"/>
        <w:numPr>
          <w:ilvl w:val="0"/>
          <w:numId w:val="1018"/>
        </w:numPr>
      </w:pPr>
      <w:r>
        <w:t xml:space="preserve">Automation architecture</w:t>
      </w:r>
    </w:p>
    <w:p>
      <w:pPr>
        <w:pStyle w:val="Compact"/>
        <w:numPr>
          <w:ilvl w:val="0"/>
          <w:numId w:val="1018"/>
        </w:numPr>
      </w:pPr>
      <w:r>
        <w:t xml:space="preserve">Major UI architecture</w:t>
      </w:r>
    </w:p>
    <w:p>
      <w:pPr>
        <w:pStyle w:val="FirstParagraph"/>
      </w:pPr>
      <w:r>
        <w:rPr>
          <w:b/>
          <w:bCs/>
        </w:rPr>
        <w:t xml:space="preserve">Stop and clarify before implementing.</w:t>
      </w:r>
    </w:p>
    <w:p>
      <w:pPr>
        <w:pStyle w:val="BodyText"/>
      </w:pPr>
      <w:r>
        <w:t xml:space="preserve">If the ambiguity is minor and does not affect architecture or safety, use the existing project conventions and make a reasonable assumption.</w:t>
      </w:r>
    </w:p>
    <w:p>
      <w:r>
        <w:pict>
          <v:rect style="width:0;height:1.5pt" o:hralign="center" o:hrstd="t" o:hr="t"/>
        </w:pict>
      </w:r>
    </w:p>
    <w:bookmarkEnd w:id="26"/>
    <w:bookmarkStart w:id="27" w:name="testing-and-verification"/>
    <w:p>
      <w:pPr>
        <w:pStyle w:val="Heading2"/>
      </w:pPr>
      <w:r>
        <w:t xml:space="preserve">17. Testing and Verification</w:t>
      </w:r>
    </w:p>
    <w:p>
      <w:pPr>
        <w:pStyle w:val="FirstParagraph"/>
      </w:pPr>
      <w:r>
        <w:t xml:space="preserve">After making changes, verify the relevant areas.</w:t>
      </w:r>
    </w:p>
    <w:p>
      <w:pPr>
        <w:pStyle w:val="BodyText"/>
      </w:pPr>
      <w:r>
        <w:t xml:space="preserve">At minimum consider:</w:t>
      </w:r>
    </w:p>
    <w:p>
      <w:pPr>
        <w:pStyle w:val="Compact"/>
        <w:numPr>
          <w:ilvl w:val="0"/>
          <w:numId w:val="1019"/>
        </w:numPr>
      </w:pPr>
      <w:r>
        <w:t xml:space="preserve">TypeScript errors</w:t>
      </w:r>
    </w:p>
    <w:p>
      <w:pPr>
        <w:pStyle w:val="Compact"/>
        <w:numPr>
          <w:ilvl w:val="0"/>
          <w:numId w:val="1019"/>
        </w:numPr>
      </w:pPr>
      <w:r>
        <w:t xml:space="preserve">Lint errors</w:t>
      </w:r>
    </w:p>
    <w:p>
      <w:pPr>
        <w:pStyle w:val="Compact"/>
        <w:numPr>
          <w:ilvl w:val="0"/>
          <w:numId w:val="1019"/>
        </w:numPr>
      </w:pPr>
      <w:r>
        <w:t xml:space="preserve">Build errors</w:t>
      </w:r>
    </w:p>
    <w:p>
      <w:pPr>
        <w:pStyle w:val="Compact"/>
        <w:numPr>
          <w:ilvl w:val="0"/>
          <w:numId w:val="1019"/>
        </w:numPr>
      </w:pPr>
      <w:r>
        <w:t xml:space="preserve">Database migration correctness</w:t>
      </w:r>
    </w:p>
    <w:p>
      <w:pPr>
        <w:pStyle w:val="Compact"/>
        <w:numPr>
          <w:ilvl w:val="0"/>
          <w:numId w:val="1019"/>
        </w:numPr>
      </w:pPr>
      <w:r>
        <w:t xml:space="preserve">RLS behavior</w:t>
      </w:r>
    </w:p>
    <w:p>
      <w:pPr>
        <w:pStyle w:val="Compact"/>
        <w:numPr>
          <w:ilvl w:val="0"/>
          <w:numId w:val="1019"/>
        </w:numPr>
      </w:pPr>
      <w:r>
        <w:t xml:space="preserve">Authentication behavior</w:t>
      </w:r>
    </w:p>
    <w:p>
      <w:pPr>
        <w:pStyle w:val="Compact"/>
        <w:numPr>
          <w:ilvl w:val="0"/>
          <w:numId w:val="1019"/>
        </w:numPr>
      </w:pPr>
      <w:r>
        <w:t xml:space="preserve">Tenant isolation</w:t>
      </w:r>
    </w:p>
    <w:p>
      <w:pPr>
        <w:pStyle w:val="Compact"/>
        <w:numPr>
          <w:ilvl w:val="0"/>
          <w:numId w:val="1019"/>
        </w:numPr>
      </w:pPr>
      <w:r>
        <w:t xml:space="preserve">API behavior</w:t>
      </w:r>
    </w:p>
    <w:p>
      <w:pPr>
        <w:pStyle w:val="Compact"/>
        <w:numPr>
          <w:ilvl w:val="0"/>
          <w:numId w:val="1019"/>
        </w:numPr>
      </w:pPr>
      <w:r>
        <w:t xml:space="preserve">Loading states</w:t>
      </w:r>
    </w:p>
    <w:p>
      <w:pPr>
        <w:pStyle w:val="Compact"/>
        <w:numPr>
          <w:ilvl w:val="0"/>
          <w:numId w:val="1019"/>
        </w:numPr>
      </w:pPr>
      <w:r>
        <w:t xml:space="preserve">Empty states</w:t>
      </w:r>
    </w:p>
    <w:p>
      <w:pPr>
        <w:pStyle w:val="Compact"/>
        <w:numPr>
          <w:ilvl w:val="0"/>
          <w:numId w:val="1019"/>
        </w:numPr>
      </w:pPr>
      <w:r>
        <w:t xml:space="preserve">Error states</w:t>
      </w:r>
    </w:p>
    <w:p>
      <w:pPr>
        <w:pStyle w:val="Compact"/>
        <w:numPr>
          <w:ilvl w:val="0"/>
          <w:numId w:val="1019"/>
        </w:numPr>
      </w:pPr>
      <w:r>
        <w:t xml:space="preserve">Mobile responsiveness</w:t>
      </w:r>
    </w:p>
    <w:p>
      <w:pPr>
        <w:pStyle w:val="Compact"/>
        <w:numPr>
          <w:ilvl w:val="0"/>
          <w:numId w:val="1019"/>
        </w:numPr>
      </w:pPr>
      <w:r>
        <w:t xml:space="preserve">Existing feature regression</w:t>
      </w:r>
    </w:p>
    <w:p>
      <w:pPr>
        <w:pStyle w:val="FirstParagraph"/>
      </w:pPr>
      <w:r>
        <w:t xml:space="preserve">Do not declare a task complete merely because the UI renders.</w:t>
      </w:r>
    </w:p>
    <w:p>
      <w:r>
        <w:pict>
          <v:rect style="width:0;height:1.5pt" o:hralign="center" o:hrstd="t" o:hr="t"/>
        </w:pict>
      </w:r>
    </w:p>
    <w:bookmarkEnd w:id="27"/>
    <w:bookmarkStart w:id="28" w:name="database-changes"/>
    <w:p>
      <w:pPr>
        <w:pStyle w:val="Heading2"/>
      </w:pPr>
      <w:r>
        <w:t xml:space="preserve">18. Database Changes</w:t>
      </w:r>
    </w:p>
    <w:p>
      <w:pPr>
        <w:pStyle w:val="FirstParagraph"/>
      </w:pPr>
      <w:r>
        <w:t xml:space="preserve">For database changes:</w:t>
      </w:r>
    </w:p>
    <w:p>
      <w:pPr>
        <w:pStyle w:val="Compact"/>
        <w:numPr>
          <w:ilvl w:val="0"/>
          <w:numId w:val="1020"/>
        </w:numPr>
      </w:pPr>
      <w:r>
        <w:t xml:space="preserve">Inspect the current schema.</w:t>
      </w:r>
    </w:p>
    <w:p>
      <w:pPr>
        <w:pStyle w:val="Compact"/>
        <w:numPr>
          <w:ilvl w:val="0"/>
          <w:numId w:val="1020"/>
        </w:numPr>
      </w:pPr>
      <w:r>
        <w:t xml:space="preserve">Produce a safe migration/change.</w:t>
      </w:r>
    </w:p>
    <w:p>
      <w:pPr>
        <w:pStyle w:val="Compact"/>
        <w:numPr>
          <w:ilvl w:val="0"/>
          <w:numId w:val="1020"/>
        </w:numPr>
      </w:pPr>
      <w:r>
        <w:t xml:space="preserve">Include required RLS policies.</w:t>
      </w:r>
    </w:p>
    <w:p>
      <w:pPr>
        <w:pStyle w:val="Compact"/>
        <w:numPr>
          <w:ilvl w:val="0"/>
          <w:numId w:val="1020"/>
        </w:numPr>
      </w:pPr>
      <w:r>
        <w:t xml:space="preserve">Include required indexes.</w:t>
      </w:r>
    </w:p>
    <w:p>
      <w:pPr>
        <w:pStyle w:val="Compact"/>
        <w:numPr>
          <w:ilvl w:val="0"/>
          <w:numId w:val="1020"/>
        </w:numPr>
      </w:pPr>
      <w:r>
        <w:t xml:space="preserve">Preserve foreign-key relationships.</w:t>
      </w:r>
    </w:p>
    <w:p>
      <w:pPr>
        <w:pStyle w:val="Compact"/>
        <w:numPr>
          <w:ilvl w:val="0"/>
          <w:numId w:val="1020"/>
        </w:numPr>
      </w:pPr>
      <w:r>
        <w:t xml:space="preserve">Consider existing data.</w:t>
      </w:r>
    </w:p>
    <w:p>
      <w:pPr>
        <w:pStyle w:val="Compact"/>
        <w:numPr>
          <w:ilvl w:val="0"/>
          <w:numId w:val="1020"/>
        </w:numPr>
      </w:pPr>
      <w:r>
        <w:t xml:space="preserve">Consider rollback/recovery where appropriate.</w:t>
      </w:r>
    </w:p>
    <w:p>
      <w:pPr>
        <w:pStyle w:val="Compact"/>
        <w:numPr>
          <w:ilvl w:val="0"/>
          <w:numId w:val="1020"/>
        </w:numPr>
      </w:pPr>
      <w:r>
        <w:t xml:space="preserve">Verify application compatibility.</w:t>
      </w:r>
    </w:p>
    <w:p>
      <w:pPr>
        <w:pStyle w:val="FirstParagraph"/>
      </w:pPr>
      <w:r>
        <w:t xml:space="preserve">Never make schema changes blindly.</w:t>
      </w:r>
    </w:p>
    <w:p>
      <w:r>
        <w:pict>
          <v:rect style="width:0;height:1.5pt" o:hralign="center" o:hrstd="t" o:hr="t"/>
        </w:pict>
      </w:r>
    </w:p>
    <w:bookmarkEnd w:id="28"/>
    <w:bookmarkStart w:id="29" w:name="documentation"/>
    <w:p>
      <w:pPr>
        <w:pStyle w:val="Heading2"/>
      </w:pPr>
      <w:r>
        <w:t xml:space="preserve">19. Documentation</w:t>
      </w:r>
    </w:p>
    <w:p>
      <w:pPr>
        <w:pStyle w:val="FirstParagraph"/>
      </w:pPr>
      <w:r>
        <w:t xml:space="preserve">When a change materially modifies architecture, update the relevant documentation.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Database change</w:t>
      </w:r>
      <w:r>
        <w:br/>
      </w:r>
      <w:r>
        <w:rPr>
          <w:rStyle w:val="VerbatimChar"/>
        </w:rPr>
        <w:t xml:space="preserve">→ Database documentation</w:t>
      </w:r>
      <w:r>
        <w:br/>
      </w:r>
      <w:r>
        <w:br/>
      </w:r>
      <w:r>
        <w:rPr>
          <w:rStyle w:val="VerbatimChar"/>
        </w:rPr>
        <w:t xml:space="preserve">New provider</w:t>
      </w:r>
      <w:r>
        <w:br/>
      </w:r>
      <w:r>
        <w:rPr>
          <w:rStyle w:val="VerbatimChar"/>
        </w:rPr>
        <w:t xml:space="preserve">→ Provider architecture</w:t>
      </w:r>
      <w:r>
        <w:br/>
      </w:r>
      <w:r>
        <w:br/>
      </w:r>
      <w:r>
        <w:rPr>
          <w:rStyle w:val="VerbatimChar"/>
        </w:rPr>
        <w:t xml:space="preserve">New automation capability</w:t>
      </w:r>
      <w:r>
        <w:br/>
      </w:r>
      <w:r>
        <w:rPr>
          <w:rStyle w:val="VerbatimChar"/>
        </w:rPr>
        <w:t xml:space="preserve">→ Automation documentation</w:t>
      </w:r>
      <w:r>
        <w:br/>
      </w:r>
      <w:r>
        <w:br/>
      </w:r>
      <w:r>
        <w:rPr>
          <w:rStyle w:val="VerbatimChar"/>
        </w:rPr>
        <w:t xml:space="preserve">New page</w:t>
      </w:r>
      <w:r>
        <w:br/>
      </w:r>
      <w:r>
        <w:rPr>
          <w:rStyle w:val="VerbatimChar"/>
        </w:rPr>
        <w:t xml:space="preserve">→ Page specification</w:t>
      </w:r>
      <w:r>
        <w:br/>
      </w:r>
      <w:r>
        <w:br/>
      </w:r>
      <w:r>
        <w:rPr>
          <w:rStyle w:val="VerbatimChar"/>
        </w:rPr>
        <w:t xml:space="preserve">API contract change</w:t>
      </w:r>
      <w:r>
        <w:br/>
      </w:r>
      <w:r>
        <w:rPr>
          <w:rStyle w:val="VerbatimChar"/>
        </w:rPr>
        <w:t xml:space="preserve">→ API documentation</w:t>
      </w:r>
    </w:p>
    <w:p>
      <w:pPr>
        <w:pStyle w:val="FirstParagraph"/>
      </w:pPr>
      <w:r>
        <w:t xml:space="preserve">Keep implementation and architecture aligned.</w:t>
      </w:r>
    </w:p>
    <w:p>
      <w:r>
        <w:pict>
          <v:rect style="width:0;height:1.5pt" o:hralign="center" o:hrstd="t" o:hr="t"/>
        </w:pict>
      </w:r>
    </w:p>
    <w:bookmarkEnd w:id="29"/>
    <w:bookmarkStart w:id="30" w:name="final-pre-commit-checklist"/>
    <w:p>
      <w:pPr>
        <w:pStyle w:val="Heading2"/>
      </w:pPr>
      <w:r>
        <w:t xml:space="preserve">20. Final Pre-Commit Checklist</w:t>
      </w:r>
    </w:p>
    <w:p>
      <w:pPr>
        <w:pStyle w:val="FirstParagraph"/>
      </w:pPr>
      <w:r>
        <w:t xml:space="preserve">Before considering work complete:</w:t>
      </w:r>
    </w:p>
    <w:p>
      <w:pPr>
        <w:pStyle w:val="SourceCode"/>
      </w:pPr>
      <w:r>
        <w:rPr>
          <w:rStyle w:val="VerbatimChar"/>
        </w:rPr>
        <w:t xml:space="preserve">[ ] Constitution followed</w:t>
      </w:r>
      <w:r>
        <w:br/>
      </w:r>
      <w:r>
        <w:rPr>
          <w:rStyle w:val="VerbatimChar"/>
        </w:rPr>
        <w:t xml:space="preserve">[ ] Existing implementation inspected</w:t>
      </w:r>
      <w:r>
        <w:br/>
      </w:r>
      <w:r>
        <w:rPr>
          <w:rStyle w:val="VerbatimChar"/>
        </w:rPr>
        <w:t xml:space="preserve">[ ] Existing abstractions reused where appropriate</w:t>
      </w:r>
      <w:r>
        <w:br/>
      </w:r>
      <w:r>
        <w:rPr>
          <w:rStyle w:val="VerbatimChar"/>
        </w:rPr>
        <w:t xml:space="preserve">[ ] Multi-tenancy preserved</w:t>
      </w:r>
      <w:r>
        <w:br/>
      </w:r>
      <w:r>
        <w:rPr>
          <w:rStyle w:val="VerbatimChar"/>
        </w:rPr>
        <w:t xml:space="preserve">[ ] RLS preserved</w:t>
      </w:r>
      <w:r>
        <w:br/>
      </w:r>
      <w:r>
        <w:rPr>
          <w:rStyle w:val="VerbatimChar"/>
        </w:rPr>
        <w:t xml:space="preserve">[ ] Authentication/authorization verified</w:t>
      </w:r>
      <w:r>
        <w:br/>
      </w:r>
      <w:r>
        <w:rPr>
          <w:rStyle w:val="VerbatimChar"/>
        </w:rPr>
        <w:t xml:space="preserve">[ ] No secrets exposed</w:t>
      </w:r>
      <w:r>
        <w:br/>
      </w:r>
      <w:r>
        <w:rPr>
          <w:rStyle w:val="VerbatimChar"/>
        </w:rPr>
        <w:t xml:space="preserve">[ ] API inputs validated</w:t>
      </w:r>
      <w:r>
        <w:br/>
      </w:r>
      <w:r>
        <w:rPr>
          <w:rStyle w:val="VerbatimChar"/>
        </w:rPr>
        <w:t xml:space="preserve">[ ] Correct architectural layer used</w:t>
      </w:r>
      <w:r>
        <w:br/>
      </w:r>
      <w:r>
        <w:rPr>
          <w:rStyle w:val="VerbatimChar"/>
        </w:rPr>
        <w:t xml:space="preserve">[ ] Provider abstraction preserved</w:t>
      </w:r>
      <w:r>
        <w:br/>
      </w:r>
      <w:r>
        <w:rPr>
          <w:rStyle w:val="VerbatimChar"/>
        </w:rPr>
        <w:t xml:space="preserve">[ ] Errors handled</w:t>
      </w:r>
      <w:r>
        <w:br/>
      </w:r>
      <w:r>
        <w:rPr>
          <w:rStyle w:val="VerbatimChar"/>
        </w:rPr>
        <w:t xml:space="preserve">[ ] External failures considered</w:t>
      </w:r>
      <w:r>
        <w:br/>
      </w:r>
      <w:r>
        <w:rPr>
          <w:rStyle w:val="VerbatimChar"/>
        </w:rPr>
        <w:t xml:space="preserve">[ ] Database changes reviewed</w:t>
      </w:r>
      <w:r>
        <w:br/>
      </w:r>
      <w:r>
        <w:rPr>
          <w:rStyle w:val="VerbatimChar"/>
        </w:rPr>
        <w:t xml:space="preserve">[ ] Mobile UI considered</w:t>
      </w:r>
      <w:r>
        <w:br/>
      </w:r>
      <w:r>
        <w:rPr>
          <w:rStyle w:val="VerbatimChar"/>
        </w:rPr>
        <w:t xml:space="preserve">[ ] Existing functionality protected</w:t>
      </w:r>
      <w:r>
        <w:br/>
      </w:r>
      <w:r>
        <w:rPr>
          <w:rStyle w:val="VerbatimChar"/>
        </w:rPr>
        <w:t xml:space="preserve">[ ] Tests/build/type checks considered</w:t>
      </w:r>
      <w:r>
        <w:br/>
      </w:r>
      <w:r>
        <w:rPr>
          <w:rStyle w:val="VerbatimChar"/>
        </w:rPr>
        <w:t xml:space="preserve">[ ] Documentation updated if architecture changed</w:t>
      </w:r>
      <w:r>
        <w:br/>
      </w:r>
      <w:r>
        <w:rPr>
          <w:rStyle w:val="VerbatimChar"/>
        </w:rPr>
        <w:t xml:space="preserve">[ ] No unnecessary refactoring introduced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inal-rule"/>
    <w:p>
      <w:pPr>
        <w:pStyle w:val="Heading1"/>
      </w:pPr>
      <w:r>
        <w:t xml:space="preserve">Final Rule</w:t>
      </w:r>
    </w:p>
    <w:p>
      <w:pPr>
        <w:pStyle w:val="FirstParagraph"/>
      </w:pPr>
      <w:r>
        <w:t xml:space="preserve">When in doubt:</w:t>
      </w:r>
    </w:p>
    <w:p>
      <w:pPr>
        <w:pStyle w:val="BodyText"/>
      </w:pPr>
      <w:r>
        <w:rPr>
          <w:b/>
          <w:bCs/>
        </w:rPr>
        <w:t xml:space="preserve">Do not guess the architecture.</w:t>
      </w:r>
    </w:p>
    <w:p>
      <w:pPr>
        <w:pStyle w:val="BodyText"/>
      </w:pPr>
      <w:r>
        <w:t xml:space="preserve">Inspect the repository, consult the EvolvNex Constitution, identify the existing pattern, and make the smallest safe change.</w:t>
      </w:r>
    </w:p>
    <w:p>
      <w:pPr>
        <w:pStyle w:val="BodyText"/>
      </w:pPr>
      <w:r>
        <w:t xml:space="preserve">EvolvNex is being built as a</w:t>
      </w:r>
      <w:r>
        <w:t xml:space="preserve"> </w:t>
      </w:r>
      <w:r>
        <w:rPr>
          <w:b/>
          <w:bCs/>
        </w:rPr>
        <w:t xml:space="preserve">long-lived multi-tenant SaaS platform</w:t>
      </w:r>
      <w:r>
        <w:t xml:space="preserve">, not as a collection of isolated features.</w:t>
      </w:r>
    </w:p>
    <w:p>
      <w:pPr>
        <w:pStyle w:val="BodyText"/>
      </w:pPr>
      <w:r>
        <w:t xml:space="preserve">Every change must preserve that direction.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