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volvnex-engineering-constitution"/>
    <w:p>
      <w:pPr>
        <w:pStyle w:val="Heading1"/>
      </w:pPr>
      <w:r>
        <w:t xml:space="preserve">EvolvNex Engineering Constitution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Source of Truth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All AI agents, developers, automation agents, Cursor/Copilot agents, and contributors working on the EvolvNex CRM / Communication platform.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non-negotiable engineering principles, architectural boundaries, security rules, and development standards</w:t>
      </w:r>
      <w:r>
        <w:t xml:space="preserve"> </w:t>
      </w:r>
      <w:r>
        <w:t xml:space="preserve">for the EvolvNex platform.</w:t>
      </w:r>
    </w:p>
    <w:p>
      <w:pPr>
        <w:pStyle w:val="BodyText"/>
      </w:pPr>
      <w:r>
        <w:t xml:space="preserve">The detailed architecture documents in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contain implementation-level specifications.</w:t>
      </w:r>
    </w:p>
    <w:p>
      <w:pPr>
        <w:pStyle w:val="BodyText"/>
      </w:pPr>
      <w:r>
        <w:t xml:space="preserve">This Constitution defines the rules that must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be respected, even when an agent is asked to make a quick change, refactor, fix, or optimization.</w:t>
      </w:r>
    </w:p>
    <w:p>
      <w:pPr>
        <w:pStyle w:val="BodyText"/>
      </w:pPr>
      <w:r>
        <w:t xml:space="preserve">When instructions conflict:</w:t>
      </w:r>
    </w:p>
    <w:p>
      <w:pPr>
        <w:pStyle w:val="Compact"/>
        <w:numPr>
          <w:ilvl w:val="0"/>
          <w:numId w:val="1001"/>
        </w:numPr>
      </w:pPr>
      <w:r>
        <w:t xml:space="preserve">This Constitution takes precedence over convenience.</w:t>
      </w:r>
    </w:p>
    <w:p>
      <w:pPr>
        <w:pStyle w:val="Compact"/>
        <w:numPr>
          <w:ilvl w:val="0"/>
          <w:numId w:val="1001"/>
        </w:numPr>
      </w:pPr>
      <w:r>
        <w:t xml:space="preserve">The detailed architecture documents are the implementation authority.</w:t>
      </w:r>
    </w:p>
    <w:p>
      <w:pPr>
        <w:pStyle w:val="Compact"/>
        <w:numPr>
          <w:ilvl w:val="0"/>
          <w:numId w:val="1001"/>
        </w:numPr>
      </w:pPr>
      <w:r>
        <w:t xml:space="preserve">Existing production behavior must not be broken without explicit approval.</w:t>
      </w:r>
    </w:p>
    <w:p>
      <w:pPr>
        <w:pStyle w:val="Compact"/>
        <w:numPr>
          <w:ilvl w:val="0"/>
          <w:numId w:val="1001"/>
        </w:numPr>
      </w:pPr>
      <w:r>
        <w:t xml:space="preserve">Never invent architecture, database structures, APIs, providers, or security behavior.</w:t>
      </w:r>
    </w:p>
    <w:p>
      <w:r>
        <w:pict>
          <v:rect style="width:0;height:1.5pt" o:hralign="center" o:hrstd="t" o:hr="t"/>
        </w:pict>
      </w:r>
    </w:p>
    <w:bookmarkEnd w:id="10"/>
    <w:bookmarkStart w:id="11" w:name="product-identity"/>
    <w:p>
      <w:pPr>
        <w:pStyle w:val="Heading1"/>
      </w:pPr>
      <w:r>
        <w:t xml:space="preserve">2. Product Identity</w:t>
      </w:r>
    </w:p>
    <w:p>
      <w:pPr>
        <w:pStyle w:val="FirstParagraph"/>
      </w:pPr>
      <w:r>
        <w:t xml:space="preserve">EvolvNex is a</w:t>
      </w:r>
      <w:r>
        <w:t xml:space="preserve"> </w:t>
      </w:r>
      <w:r>
        <w:rPr>
          <w:b/>
          <w:bCs/>
        </w:rPr>
        <w:t xml:space="preserve">Business Growth OS</w:t>
      </w:r>
      <w:r>
        <w:t xml:space="preserve">, not merely a CRM and not merely a WhatsApp application.</w:t>
      </w:r>
    </w:p>
    <w:p>
      <w:pPr>
        <w:pStyle w:val="BodyText"/>
      </w:pPr>
      <w:r>
        <w:t xml:space="preserve">The platform is designed to provide businesses with:</w:t>
      </w:r>
    </w:p>
    <w:p>
      <w:pPr>
        <w:pStyle w:val="Compact"/>
        <w:numPr>
          <w:ilvl w:val="0"/>
          <w:numId w:val="1002"/>
        </w:numPr>
      </w:pPr>
      <w:r>
        <w:t xml:space="preserve">Customer management</w:t>
      </w:r>
    </w:p>
    <w:p>
      <w:pPr>
        <w:pStyle w:val="Compact"/>
        <w:numPr>
          <w:ilvl w:val="0"/>
          <w:numId w:val="1002"/>
        </w:numPr>
      </w:pPr>
      <w:r>
        <w:t xml:space="preserve">Communication</w:t>
      </w:r>
    </w:p>
    <w:p>
      <w:pPr>
        <w:pStyle w:val="Compact"/>
        <w:numPr>
          <w:ilvl w:val="0"/>
          <w:numId w:val="1002"/>
        </w:numPr>
      </w:pPr>
      <w:r>
        <w:t xml:space="preserve">Campaigns</w:t>
      </w:r>
    </w:p>
    <w:p>
      <w:pPr>
        <w:pStyle w:val="Compact"/>
        <w:numPr>
          <w:ilvl w:val="0"/>
          <w:numId w:val="1002"/>
        </w:numPr>
      </w:pPr>
      <w:r>
        <w:t xml:space="preserve">Automation</w:t>
      </w:r>
    </w:p>
    <w:p>
      <w:pPr>
        <w:pStyle w:val="Compact"/>
        <w:numPr>
          <w:ilvl w:val="0"/>
          <w:numId w:val="1002"/>
        </w:numPr>
      </w:pPr>
      <w:r>
        <w:t xml:space="preserve">Growth systems</w:t>
      </w:r>
    </w:p>
    <w:p>
      <w:pPr>
        <w:pStyle w:val="Compact"/>
        <w:numPr>
          <w:ilvl w:val="0"/>
          <w:numId w:val="1002"/>
        </w:numPr>
      </w:pPr>
      <w:r>
        <w:t xml:space="preserve">AI-assisted operations</w:t>
      </w:r>
    </w:p>
    <w:p>
      <w:pPr>
        <w:pStyle w:val="Compact"/>
        <w:numPr>
          <w:ilvl w:val="0"/>
          <w:numId w:val="1002"/>
        </w:numPr>
      </w:pPr>
      <w:r>
        <w:t xml:space="preserve">Ordering and business workflows</w:t>
      </w:r>
    </w:p>
    <w:p>
      <w:pPr>
        <w:pStyle w:val="Compact"/>
        <w:numPr>
          <w:ilvl w:val="0"/>
          <w:numId w:val="1002"/>
        </w:numPr>
      </w:pPr>
      <w:r>
        <w:t xml:space="preserve">Future provider integrations</w:t>
      </w:r>
    </w:p>
    <w:p>
      <w:pPr>
        <w:pStyle w:val="Compact"/>
        <w:numPr>
          <w:ilvl w:val="0"/>
          <w:numId w:val="1002"/>
        </w:numPr>
      </w:pPr>
      <w:r>
        <w:t xml:space="preserve">Multi-tenant SaaS capabilities</w:t>
      </w:r>
    </w:p>
    <w:p>
      <w:pPr>
        <w:pStyle w:val="FirstParagraph"/>
      </w:pPr>
      <w:r>
        <w:t xml:space="preserve">The Communication module is</w:t>
      </w:r>
      <w:r>
        <w:t xml:space="preserve"> </w:t>
      </w:r>
      <w:r>
        <w:rPr>
          <w:b/>
          <w:bCs/>
        </w:rPr>
        <w:t xml:space="preserve">provider-independent</w:t>
      </w:r>
      <w:r>
        <w:t xml:space="preserve">.</w:t>
      </w:r>
    </w:p>
    <w:p>
      <w:pPr>
        <w:pStyle w:val="BodyText"/>
      </w:pPr>
      <w:r>
        <w:t xml:space="preserve">WhatsApp is a provider, not the definition of the Communication system.</w:t>
      </w:r>
    </w:p>
    <w:p>
      <w:pPr>
        <w:pStyle w:val="BodyText"/>
      </w:pPr>
      <w:r>
        <w:t xml:space="preserve">Never architect the core system around WhatsApp-specific assumptions.</w:t>
      </w:r>
    </w:p>
    <w:p>
      <w:r>
        <w:pict>
          <v:rect style="width:0;height:1.5pt" o:hralign="center" o:hrstd="t" o:hr="t"/>
        </w:pict>
      </w:r>
    </w:p>
    <w:bookmarkEnd w:id="11"/>
    <w:bookmarkStart w:id="12" w:name="core-technology"/>
    <w:p>
      <w:pPr>
        <w:pStyle w:val="Heading1"/>
      </w:pPr>
      <w:r>
        <w:t xml:space="preserve">3. Core Technology</w:t>
      </w:r>
    </w:p>
    <w:p>
      <w:pPr>
        <w:pStyle w:val="FirstParagraph"/>
      </w:pPr>
      <w:r>
        <w:t xml:space="preserve">The current platform architecture is based on:</w:t>
      </w:r>
    </w:p>
    <w:p>
      <w:pPr>
        <w:pStyle w:val="Compact"/>
        <w:numPr>
          <w:ilvl w:val="0"/>
          <w:numId w:val="1003"/>
        </w:numPr>
      </w:pPr>
      <w:r>
        <w:t xml:space="preserve">Next.js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Supabase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t xml:space="preserve">Supabase Auth</w:t>
      </w:r>
    </w:p>
    <w:p>
      <w:pPr>
        <w:pStyle w:val="Compact"/>
        <w:numPr>
          <w:ilvl w:val="0"/>
          <w:numId w:val="1003"/>
        </w:numPr>
      </w:pPr>
      <w:r>
        <w:t xml:space="preserve">Supabase Storage where required</w:t>
      </w:r>
    </w:p>
    <w:p>
      <w:pPr>
        <w:pStyle w:val="Compact"/>
        <w:numPr>
          <w:ilvl w:val="0"/>
          <w:numId w:val="1003"/>
        </w:numPr>
      </w:pPr>
      <w:r>
        <w:t xml:space="preserve">Supabase Realtime where required</w:t>
      </w:r>
    </w:p>
    <w:p>
      <w:pPr>
        <w:pStyle w:val="FirstParagraph"/>
      </w:pPr>
      <w:r>
        <w:t xml:space="preserve">The application is:</w:t>
      </w:r>
    </w:p>
    <w:p>
      <w:pPr>
        <w:pStyle w:val="Compact"/>
        <w:numPr>
          <w:ilvl w:val="0"/>
          <w:numId w:val="1004"/>
        </w:numPr>
      </w:pPr>
      <w:r>
        <w:t xml:space="preserve">Multi-tenant</w:t>
      </w:r>
    </w:p>
    <w:p>
      <w:pPr>
        <w:pStyle w:val="Compact"/>
        <w:numPr>
          <w:ilvl w:val="0"/>
          <w:numId w:val="1004"/>
        </w:numPr>
      </w:pPr>
      <w:r>
        <w:t xml:space="preserve">Mobile-first</w:t>
      </w:r>
    </w:p>
    <w:p>
      <w:pPr>
        <w:pStyle w:val="Compact"/>
        <w:numPr>
          <w:ilvl w:val="0"/>
          <w:numId w:val="1004"/>
        </w:numPr>
      </w:pPr>
      <w:r>
        <w:t xml:space="preserve">API/service driven</w:t>
      </w:r>
    </w:p>
    <w:p>
      <w:pPr>
        <w:pStyle w:val="Compact"/>
        <w:numPr>
          <w:ilvl w:val="0"/>
          <w:numId w:val="1004"/>
        </w:numPr>
      </w:pPr>
      <w:r>
        <w:t xml:space="preserve">Provider-independent</w:t>
      </w:r>
    </w:p>
    <w:p>
      <w:pPr>
        <w:pStyle w:val="Compact"/>
        <w:numPr>
          <w:ilvl w:val="0"/>
          <w:numId w:val="1004"/>
        </w:numPr>
      </w:pPr>
      <w:r>
        <w:t xml:space="preserve">Security-first</w:t>
      </w:r>
    </w:p>
    <w:p>
      <w:pPr>
        <w:pStyle w:val="Compact"/>
        <w:numPr>
          <w:ilvl w:val="0"/>
          <w:numId w:val="1004"/>
        </w:numPr>
      </w:pPr>
      <w:r>
        <w:t xml:space="preserve">SaaS-oriented</w:t>
      </w:r>
    </w:p>
    <w:p>
      <w:pPr>
        <w:pStyle w:val="FirstParagraph"/>
      </w:pPr>
      <w:r>
        <w:t xml:space="preserve">Do not introduce another framework, database, authentication system, ORM, state-management architecture, or major infrastructure dependency without explicit approval.</w:t>
      </w:r>
    </w:p>
    <w:p>
      <w:r>
        <w:pict>
          <v:rect style="width:0;height:1.5pt" o:hralign="center" o:hrstd="t" o:hr="t"/>
        </w:pict>
      </w:r>
    </w:p>
    <w:bookmarkEnd w:id="12"/>
    <w:bookmarkStart w:id="16" w:name="architectural-principles"/>
    <w:p>
      <w:pPr>
        <w:pStyle w:val="Heading1"/>
      </w:pPr>
      <w:r>
        <w:t xml:space="preserve">4. Architectural Principles</w:t>
      </w:r>
    </w:p>
    <w:bookmarkStart w:id="13" w:name="multi-tenancy-is-mandatory"/>
    <w:p>
      <w:pPr>
        <w:pStyle w:val="Heading2"/>
      </w:pPr>
      <w:r>
        <w:t xml:space="preserve">4.1 Multi-Tenancy Is Mandatory</w:t>
      </w:r>
    </w:p>
    <w:p>
      <w:pPr>
        <w:pStyle w:val="FirstParagraph"/>
      </w:pPr>
      <w:r>
        <w:t xml:space="preserve">Every tenant-owned resource must be isolated.</w:t>
      </w:r>
    </w:p>
    <w:p>
      <w:pPr>
        <w:pStyle w:val="BodyText"/>
      </w:pPr>
      <w:r>
        <w:t xml:space="preserve">A user’s access must never expose another tenant’s data.</w:t>
      </w:r>
    </w:p>
    <w:p>
      <w:pPr>
        <w:pStyle w:val="BodyText"/>
      </w:pPr>
      <w:r>
        <w:t xml:space="preserve">Tenant identity must be derived from the authenticated context wherever possible.</w:t>
      </w:r>
    </w:p>
    <w:p>
      <w:pPr>
        <w:pStyle w:val="BodyText"/>
      </w:pPr>
      <w:r>
        <w:t xml:space="preserve">Never trust a client-provided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for authorization.</w:t>
      </w:r>
    </w:p>
    <w:p>
      <w:pPr>
        <w:pStyle w:val="BodyText"/>
      </w:pPr>
      <w:r>
        <w:t xml:space="preserve">The server/database must enforce tenant isolation.</w:t>
      </w:r>
    </w:p>
    <w:p>
      <w:r>
        <w:pict>
          <v:rect style="width:0;height:1.5pt" o:hralign="center" o:hrstd="t" o:hr="t"/>
        </w:pict>
      </w:r>
    </w:p>
    <w:bookmarkEnd w:id="13"/>
    <w:bookmarkStart w:id="14" w:name="database-security-is-mandatory"/>
    <w:p>
      <w:pPr>
        <w:pStyle w:val="Heading2"/>
      </w:pPr>
      <w:r>
        <w:t xml:space="preserve">4.2 Database Security Is Mandatory</w:t>
      </w:r>
    </w:p>
    <w:p>
      <w:pPr>
        <w:pStyle w:val="FirstParagraph"/>
      </w:pPr>
      <w:r>
        <w:t xml:space="preserve">Supabase Row Level Security is a fundamental security boundary.</w:t>
      </w:r>
    </w:p>
    <w:p>
      <w:pPr>
        <w:pStyle w:val="BodyText"/>
      </w:pPr>
      <w:r>
        <w:t xml:space="preserve">For tenant-owned tables:</w:t>
      </w:r>
    </w:p>
    <w:p>
      <w:pPr>
        <w:pStyle w:val="Compact"/>
        <w:numPr>
          <w:ilvl w:val="0"/>
          <w:numId w:val="1005"/>
        </w:numPr>
      </w:pPr>
      <w:r>
        <w:t xml:space="preserve">RLS must be enabled.</w:t>
      </w:r>
    </w:p>
    <w:p>
      <w:pPr>
        <w:pStyle w:val="Compact"/>
        <w:numPr>
          <w:ilvl w:val="0"/>
          <w:numId w:val="1005"/>
        </w:numPr>
      </w:pPr>
      <w:r>
        <w:t xml:space="preserve">Policies must enforce tenant isolation.</w:t>
      </w:r>
    </w:p>
    <w:p>
      <w:pPr>
        <w:pStyle w:val="Compact"/>
        <w:numPr>
          <w:ilvl w:val="0"/>
          <w:numId w:val="1005"/>
        </w:numPr>
      </w:pPr>
      <w:r>
        <w:t xml:space="preserve">Policies must be based on authenticated identity and approved tenant relationships.</w:t>
      </w:r>
    </w:p>
    <w:p>
      <w:pPr>
        <w:pStyle w:val="Compact"/>
        <w:numPr>
          <w:ilvl w:val="0"/>
          <w:numId w:val="1005"/>
        </w:numPr>
      </w:pPr>
      <w:r>
        <w:t xml:space="preserve">Never disable RLS merely to make a feature work.</w:t>
      </w:r>
    </w:p>
    <w:p>
      <w:pPr>
        <w:pStyle w:val="Compact"/>
        <w:numPr>
          <w:ilvl w:val="0"/>
          <w:numId w:val="1005"/>
        </w:numPr>
      </w:pPr>
      <w:r>
        <w:t xml:space="preserve">Never solve an authorization problem by exposing service-role credentials.</w:t>
      </w:r>
    </w:p>
    <w:p>
      <w:pPr>
        <w:pStyle w:val="FirstParagraph"/>
      </w:pPr>
      <w:r>
        <w:t xml:space="preserve">The service role must never be exposed to the browser.</w:t>
      </w:r>
    </w:p>
    <w:p>
      <w:r>
        <w:pict>
          <v:rect style="width:0;height:1.5pt" o:hralign="center" o:hrstd="t" o:hr="t"/>
        </w:pict>
      </w:r>
    </w:p>
    <w:bookmarkEnd w:id="14"/>
    <w:bookmarkStart w:id="15" w:name="provider-independence"/>
    <w:p>
      <w:pPr>
        <w:pStyle w:val="Heading2"/>
      </w:pPr>
      <w:r>
        <w:t xml:space="preserve">4.3 Provider Independence</w:t>
      </w:r>
    </w:p>
    <w:p>
      <w:pPr>
        <w:pStyle w:val="FirstParagraph"/>
      </w:pPr>
      <w:r>
        <w:t xml:space="preserve">Communication functionality must use provider abstractions.</w:t>
      </w:r>
    </w:p>
    <w:p>
      <w:pPr>
        <w:pStyle w:val="BodyText"/>
      </w:pPr>
      <w:r>
        <w:t xml:space="preserve">Examples of providers may include:</w:t>
      </w:r>
    </w:p>
    <w:p>
      <w:pPr>
        <w:pStyle w:val="Compact"/>
        <w:numPr>
          <w:ilvl w:val="0"/>
          <w:numId w:val="1006"/>
        </w:numPr>
      </w:pPr>
      <w:r>
        <w:t xml:space="preserve">WhatsApp</w:t>
      </w:r>
    </w:p>
    <w:p>
      <w:pPr>
        <w:pStyle w:val="Compact"/>
        <w:numPr>
          <w:ilvl w:val="0"/>
          <w:numId w:val="1006"/>
        </w:numPr>
      </w:pPr>
      <w:r>
        <w:t xml:space="preserve">Instagram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SMS</w:t>
      </w:r>
    </w:p>
    <w:p>
      <w:pPr>
        <w:pStyle w:val="Compact"/>
        <w:numPr>
          <w:ilvl w:val="0"/>
          <w:numId w:val="1006"/>
        </w:numPr>
      </w:pPr>
      <w:r>
        <w:t xml:space="preserve">Telegram</w:t>
      </w:r>
    </w:p>
    <w:p>
      <w:pPr>
        <w:pStyle w:val="Compact"/>
        <w:numPr>
          <w:ilvl w:val="0"/>
          <w:numId w:val="1006"/>
        </w:numPr>
      </w:pPr>
      <w:r>
        <w:t xml:space="preserve">Future communication providers</w:t>
      </w:r>
    </w:p>
    <w:p>
      <w:pPr>
        <w:pStyle w:val="FirstParagraph"/>
      </w:pPr>
      <w:r>
        <w:t xml:space="preserve">Core application logic must not directly depend on a specific provider’s API.</w:t>
      </w:r>
    </w:p>
    <w:p>
      <w:pPr>
        <w:pStyle w:val="BodyText"/>
      </w:pPr>
      <w:r>
        <w:t xml:space="preserve">Use the provider architecture defined in the project documentation.</w:t>
      </w:r>
    </w:p>
    <w:p>
      <w:pPr>
        <w:pStyle w:val="BodyText"/>
      </w:pPr>
      <w:r>
        <w:t xml:space="preserve">A provider should implement a common contract rather than forcing the entire application to understand provider-specific behavior.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layering-rules"/>
    <w:p>
      <w:pPr>
        <w:pStyle w:val="Heading1"/>
      </w:pPr>
      <w:r>
        <w:t xml:space="preserve">5. Layering Rules</w:t>
      </w:r>
    </w:p>
    <w:p>
      <w:pPr>
        <w:pStyle w:val="FirstParagraph"/>
      </w:pPr>
      <w:r>
        <w:t xml:space="preserve">The system follows a layered architecture.</w:t>
      </w:r>
    </w:p>
    <w:p>
      <w:pPr>
        <w:pStyle w:val="BodyText"/>
      </w:pPr>
      <w:r>
        <w:t xml:space="preserve">The preferred flow is: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/ 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 / 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/ External API</w:t>
      </w:r>
    </w:p>
    <w:p>
      <w:pPr>
        <w:pStyle w:val="FirstParagraph"/>
      </w:pPr>
      <w:r>
        <w:t xml:space="preserve">Responsibilities must remain separated.</w:t>
      </w:r>
    </w:p>
    <w:bookmarkStart w:id="17" w:name="ui"/>
    <w:p>
      <w:pPr>
        <w:pStyle w:val="Heading3"/>
      </w:pPr>
      <w:r>
        <w:t xml:space="preserve">UI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7"/>
        </w:numPr>
      </w:pPr>
      <w:r>
        <w:t xml:space="preserve">Presentation</w:t>
      </w:r>
    </w:p>
    <w:p>
      <w:pPr>
        <w:pStyle w:val="Compact"/>
        <w:numPr>
          <w:ilvl w:val="0"/>
          <w:numId w:val="1007"/>
        </w:numPr>
      </w:pPr>
      <w:r>
        <w:t xml:space="preserve">User interaction</w:t>
      </w:r>
    </w:p>
    <w:p>
      <w:pPr>
        <w:pStyle w:val="Compact"/>
        <w:numPr>
          <w:ilvl w:val="0"/>
          <w:numId w:val="1007"/>
        </w:numPr>
      </w:pPr>
      <w:r>
        <w:t xml:space="preserve">Local UI state</w:t>
      </w:r>
    </w:p>
    <w:p>
      <w:pPr>
        <w:pStyle w:val="Compact"/>
        <w:numPr>
          <w:ilvl w:val="0"/>
          <w:numId w:val="1007"/>
        </w:numPr>
      </w:pPr>
      <w:r>
        <w:t xml:space="preserve">Calling application APIs</w:t>
      </w:r>
    </w:p>
    <w:p>
      <w:pPr>
        <w:pStyle w:val="FirstParagraph"/>
      </w:pPr>
      <w:r>
        <w:t xml:space="preserve">The UI must not contain business-critical authorization or provider logic.</w:t>
      </w:r>
    </w:p>
    <w:bookmarkEnd w:id="17"/>
    <w:bookmarkStart w:id="18" w:name="api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8"/>
        </w:numPr>
      </w:pPr>
      <w:r>
        <w:t xml:space="preserve">Authentication context</w:t>
      </w:r>
    </w:p>
    <w:p>
      <w:pPr>
        <w:pStyle w:val="Compact"/>
        <w:numPr>
          <w:ilvl w:val="0"/>
          <w:numId w:val="1008"/>
        </w:numPr>
      </w:pPr>
      <w:r>
        <w:t xml:space="preserve">Request parsing</w:t>
      </w:r>
    </w:p>
    <w:p>
      <w:pPr>
        <w:pStyle w:val="Compact"/>
        <w:numPr>
          <w:ilvl w:val="0"/>
          <w:numId w:val="1008"/>
        </w:numPr>
      </w:pPr>
      <w:r>
        <w:t xml:space="preserve">Validation</w:t>
      </w:r>
    </w:p>
    <w:p>
      <w:pPr>
        <w:pStyle w:val="Compact"/>
        <w:numPr>
          <w:ilvl w:val="0"/>
          <w:numId w:val="1008"/>
        </w:numPr>
      </w:pPr>
      <w:r>
        <w:t xml:space="preserve">Calling services</w:t>
      </w:r>
    </w:p>
    <w:p>
      <w:pPr>
        <w:pStyle w:val="Compact"/>
        <w:numPr>
          <w:ilvl w:val="0"/>
          <w:numId w:val="1008"/>
        </w:numPr>
      </w:pPr>
      <w:r>
        <w:t xml:space="preserve">Returning appropriate responses</w:t>
      </w:r>
    </w:p>
    <w:bookmarkEnd w:id="18"/>
    <w:bookmarkStart w:id="19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9"/>
        </w:numPr>
      </w:pPr>
      <w:r>
        <w:t xml:space="preserve">Input validation</w:t>
      </w:r>
    </w:p>
    <w:p>
      <w:pPr>
        <w:pStyle w:val="Compact"/>
        <w:numPr>
          <w:ilvl w:val="0"/>
          <w:numId w:val="1009"/>
        </w:numPr>
      </w:pPr>
      <w:r>
        <w:t xml:space="preserve">Type safety</w:t>
      </w:r>
    </w:p>
    <w:p>
      <w:pPr>
        <w:pStyle w:val="Compact"/>
        <w:numPr>
          <w:ilvl w:val="0"/>
          <w:numId w:val="1009"/>
        </w:numPr>
      </w:pPr>
      <w:r>
        <w:t xml:space="preserve">Required fields</w:t>
      </w:r>
    </w:p>
    <w:p>
      <w:pPr>
        <w:pStyle w:val="Compact"/>
        <w:numPr>
          <w:ilvl w:val="0"/>
          <w:numId w:val="1009"/>
        </w:numPr>
      </w:pPr>
      <w:r>
        <w:t xml:space="preserve">Allowed values</w:t>
      </w:r>
    </w:p>
    <w:p>
      <w:pPr>
        <w:pStyle w:val="Compact"/>
        <w:numPr>
          <w:ilvl w:val="0"/>
          <w:numId w:val="1009"/>
        </w:numPr>
      </w:pPr>
      <w:r>
        <w:t xml:space="preserve">Business input constraints where appropriate</w:t>
      </w:r>
    </w:p>
    <w:bookmarkEnd w:id="19"/>
    <w:bookmarkStart w:id="20" w:name="service"/>
    <w:p>
      <w:pPr>
        <w:pStyle w:val="Heading3"/>
      </w:pPr>
      <w:r>
        <w:t xml:space="preserve">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0"/>
        </w:numPr>
      </w:pPr>
      <w:r>
        <w:t xml:space="preserve">Business logic</w:t>
      </w:r>
    </w:p>
    <w:p>
      <w:pPr>
        <w:pStyle w:val="Compact"/>
        <w:numPr>
          <w:ilvl w:val="0"/>
          <w:numId w:val="1010"/>
        </w:numPr>
      </w:pPr>
      <w:r>
        <w:t xml:space="preserve">Workflows</w:t>
      </w:r>
    </w:p>
    <w:p>
      <w:pPr>
        <w:pStyle w:val="Compact"/>
        <w:numPr>
          <w:ilvl w:val="0"/>
          <w:numId w:val="1010"/>
        </w:numPr>
      </w:pPr>
      <w:r>
        <w:t xml:space="preserve">Orchestration</w:t>
      </w:r>
    </w:p>
    <w:p>
      <w:pPr>
        <w:pStyle w:val="Compact"/>
        <w:numPr>
          <w:ilvl w:val="0"/>
          <w:numId w:val="1010"/>
        </w:numPr>
      </w:pPr>
      <w:r>
        <w:t xml:space="preserve">Business rules</w:t>
      </w:r>
    </w:p>
    <w:bookmarkEnd w:id="20"/>
    <w:bookmarkStart w:id="21" w:name="provider"/>
    <w:p>
      <w:pPr>
        <w:pStyle w:val="Heading3"/>
      </w:pPr>
      <w:r>
        <w:t xml:space="preserve">Provider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1"/>
        </w:numPr>
      </w:pPr>
      <w:r>
        <w:t xml:space="preserve">External provider communication</w:t>
      </w:r>
    </w:p>
    <w:p>
      <w:pPr>
        <w:pStyle w:val="Compact"/>
        <w:numPr>
          <w:ilvl w:val="0"/>
          <w:numId w:val="1011"/>
        </w:numPr>
      </w:pPr>
      <w:r>
        <w:t xml:space="preserve">Provider-specific APIs</w:t>
      </w:r>
    </w:p>
    <w:p>
      <w:pPr>
        <w:pStyle w:val="Compact"/>
        <w:numPr>
          <w:ilvl w:val="0"/>
          <w:numId w:val="1011"/>
        </w:numPr>
      </w:pPr>
      <w:r>
        <w:t xml:space="preserve">Provider-specific payload transformation</w:t>
      </w:r>
    </w:p>
    <w:p>
      <w:pPr>
        <w:pStyle w:val="Compact"/>
        <w:numPr>
          <w:ilvl w:val="0"/>
          <w:numId w:val="1011"/>
        </w:numPr>
      </w:pPr>
      <w:r>
        <w:t xml:space="preserve">Provider-specific response handling</w:t>
      </w:r>
    </w:p>
    <w:bookmarkEnd w:id="21"/>
    <w:bookmarkStart w:id="22" w:name="repository-data-access"/>
    <w:p>
      <w:pPr>
        <w:pStyle w:val="Heading3"/>
      </w:pPr>
      <w:r>
        <w:t xml:space="preserve">Repository / Data Access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2"/>
        </w:numPr>
      </w:pPr>
      <w:r>
        <w:t xml:space="preserve">Database operations</w:t>
      </w:r>
    </w:p>
    <w:p>
      <w:pPr>
        <w:pStyle w:val="Compact"/>
        <w:numPr>
          <w:ilvl w:val="0"/>
          <w:numId w:val="1012"/>
        </w:numPr>
      </w:pPr>
      <w:r>
        <w:t xml:space="preserve">Query abstraction where appropriate</w:t>
      </w:r>
    </w:p>
    <w:p>
      <w:pPr>
        <w:pStyle w:val="Compact"/>
        <w:numPr>
          <w:ilvl w:val="0"/>
          <w:numId w:val="1012"/>
        </w:numPr>
      </w:pPr>
      <w:r>
        <w:t xml:space="preserve">Persistence</w:t>
      </w:r>
    </w:p>
    <w:p>
      <w:pPr>
        <w:pStyle w:val="FirstParagraph"/>
      </w:pPr>
      <w:r>
        <w:t xml:space="preserve">Do not move business logic into components simply because it is convenient.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atabase-rules"/>
    <w:p>
      <w:pPr>
        <w:pStyle w:val="Heading1"/>
      </w:pPr>
      <w:r>
        <w:t xml:space="preserve">6. Database Rules</w:t>
      </w:r>
    </w:p>
    <w:p>
      <w:pPr>
        <w:pStyle w:val="FirstParagraph"/>
      </w:pPr>
      <w:r>
        <w:t xml:space="preserve">PostgreSQL/Supabase is the source of truth for persistent application data.</w:t>
      </w:r>
    </w:p>
    <w:p>
      <w:pPr>
        <w:pStyle w:val="BodyText"/>
      </w:pPr>
      <w:r>
        <w:t xml:space="preserve">Before creating or modifying a table:</w:t>
      </w:r>
    </w:p>
    <w:p>
      <w:pPr>
        <w:pStyle w:val="Compact"/>
        <w:numPr>
          <w:ilvl w:val="0"/>
          <w:numId w:val="1013"/>
        </w:numPr>
      </w:pPr>
      <w:r>
        <w:t xml:space="preserve">Check the existing schema.</w:t>
      </w:r>
    </w:p>
    <w:p>
      <w:pPr>
        <w:pStyle w:val="Compact"/>
        <w:numPr>
          <w:ilvl w:val="0"/>
          <w:numId w:val="1013"/>
        </w:numPr>
      </w:pPr>
      <w:r>
        <w:t xml:space="preserve">Check tenant ownership.</w:t>
      </w:r>
    </w:p>
    <w:p>
      <w:pPr>
        <w:pStyle w:val="Compact"/>
        <w:numPr>
          <w:ilvl w:val="0"/>
          <w:numId w:val="1013"/>
        </w:numPr>
      </w:pPr>
      <w:r>
        <w:t xml:space="preserve">Check existing relationships.</w:t>
      </w:r>
    </w:p>
    <w:p>
      <w:pPr>
        <w:pStyle w:val="Compact"/>
        <w:numPr>
          <w:ilvl w:val="0"/>
          <w:numId w:val="1013"/>
        </w:numPr>
      </w:pPr>
      <w:r>
        <w:t xml:space="preserve">Check RLS requirements.</w:t>
      </w:r>
    </w:p>
    <w:p>
      <w:pPr>
        <w:pStyle w:val="Compact"/>
        <w:numPr>
          <w:ilvl w:val="0"/>
          <w:numId w:val="1013"/>
        </w:numPr>
      </w:pPr>
      <w:r>
        <w:t xml:space="preserve">Check whether an existing table already solves the requirement.</w:t>
      </w:r>
    </w:p>
    <w:p>
      <w:pPr>
        <w:pStyle w:val="Compact"/>
        <w:numPr>
          <w:ilvl w:val="0"/>
          <w:numId w:val="1013"/>
        </w:numPr>
      </w:pPr>
      <w:r>
        <w:t xml:space="preserve">Follow existing naming conventions.</w:t>
      </w:r>
    </w:p>
    <w:p>
      <w:pPr>
        <w:pStyle w:val="FirstParagraph"/>
      </w:pPr>
      <w:r>
        <w:t xml:space="preserve">Do not create duplicate tables because an existing table is inconvenient.</w:t>
      </w:r>
    </w:p>
    <w:p>
      <w:pPr>
        <w:pStyle w:val="BodyText"/>
      </w:pPr>
      <w:r>
        <w:t xml:space="preserve">Do not introduce JSON blobs when normalized relational data is required.</w:t>
      </w:r>
    </w:p>
    <w:p>
      <w:pPr>
        <w:pStyle w:val="BodyText"/>
      </w:pPr>
      <w:r>
        <w:t xml:space="preserve">Do not add columns without considering:</w:t>
      </w:r>
    </w:p>
    <w:p>
      <w:pPr>
        <w:pStyle w:val="Compact"/>
        <w:numPr>
          <w:ilvl w:val="0"/>
          <w:numId w:val="1014"/>
        </w:numPr>
      </w:pPr>
      <w:r>
        <w:t xml:space="preserve">Tenant isolation</w:t>
      </w:r>
    </w:p>
    <w:p>
      <w:pPr>
        <w:pStyle w:val="Compact"/>
        <w:numPr>
          <w:ilvl w:val="0"/>
          <w:numId w:val="1014"/>
        </w:numPr>
      </w:pPr>
      <w:r>
        <w:t xml:space="preserve">Foreign keys</w:t>
      </w:r>
    </w:p>
    <w:p>
      <w:pPr>
        <w:pStyle w:val="Compact"/>
        <w:numPr>
          <w:ilvl w:val="0"/>
          <w:numId w:val="1014"/>
        </w:numPr>
      </w:pPr>
      <w:r>
        <w:t xml:space="preserve">Indexes</w:t>
      </w:r>
    </w:p>
    <w:p>
      <w:pPr>
        <w:pStyle w:val="Compact"/>
        <w:numPr>
          <w:ilvl w:val="0"/>
          <w:numId w:val="1014"/>
        </w:numPr>
      </w:pPr>
      <w:r>
        <w:t xml:space="preserve">RLS</w:t>
      </w:r>
    </w:p>
    <w:p>
      <w:pPr>
        <w:pStyle w:val="Compact"/>
        <w:numPr>
          <w:ilvl w:val="0"/>
          <w:numId w:val="1014"/>
        </w:numPr>
      </w:pPr>
      <w:r>
        <w:t xml:space="preserve">Nullability</w:t>
      </w:r>
    </w:p>
    <w:p>
      <w:pPr>
        <w:pStyle w:val="Compact"/>
        <w:numPr>
          <w:ilvl w:val="0"/>
          <w:numId w:val="1014"/>
        </w:numPr>
      </w:pPr>
      <w:r>
        <w:t xml:space="preserve">Defaults</w:t>
      </w:r>
    </w:p>
    <w:p>
      <w:pPr>
        <w:pStyle w:val="Compact"/>
        <w:numPr>
          <w:ilvl w:val="0"/>
          <w:numId w:val="1014"/>
        </w:numPr>
      </w:pPr>
      <w:r>
        <w:t xml:space="preserve">Existing application behavior</w:t>
      </w:r>
    </w:p>
    <w:p>
      <w:r>
        <w:pict>
          <v:rect style="width:0;height:1.5pt" o:hralign="center" o:hrstd="t" o:hr="t"/>
        </w:pict>
      </w:r>
    </w:p>
    <w:bookmarkEnd w:id="24"/>
    <w:bookmarkStart w:id="25" w:name="ids-and-tenant-identification"/>
    <w:p>
      <w:pPr>
        <w:pStyle w:val="Heading1"/>
      </w:pPr>
      <w:r>
        <w:t xml:space="preserve">7. IDs and Tenant Identification</w:t>
      </w:r>
    </w:p>
    <w:p>
      <w:pPr>
        <w:pStyle w:val="FirstParagraph"/>
      </w:pPr>
      <w:r>
        <w:t xml:space="preserve">Use the existing project ID strategy.</w:t>
      </w:r>
    </w:p>
    <w:p>
      <w:pPr>
        <w:pStyle w:val="BodyText"/>
      </w:pPr>
      <w:r>
        <w:t xml:space="preserve">Do not invent a new ID format for a feature without checking the current architecture.</w:t>
      </w:r>
    </w:p>
    <w:p>
      <w:pPr>
        <w:pStyle w:val="BodyText"/>
      </w:pPr>
      <w:r>
        <w:t xml:space="preserve">Tenant relationships must be explicit and enforceable.</w:t>
      </w:r>
    </w:p>
    <w:p>
      <w:pPr>
        <w:pStyle w:val="BodyText"/>
      </w:pPr>
      <w:r>
        <w:t xml:space="preserve">Never use:</w:t>
      </w:r>
    </w:p>
    <w:p>
      <w:pPr>
        <w:pStyle w:val="Compact"/>
        <w:numPr>
          <w:ilvl w:val="0"/>
          <w:numId w:val="1015"/>
        </w:numPr>
      </w:pPr>
      <w:r>
        <w:t xml:space="preserve">Email address</w:t>
      </w:r>
    </w:p>
    <w:p>
      <w:pPr>
        <w:pStyle w:val="Compact"/>
        <w:numPr>
          <w:ilvl w:val="0"/>
          <w:numId w:val="1015"/>
        </w:numPr>
      </w:pPr>
      <w:r>
        <w:t xml:space="preserve">Business name</w:t>
      </w:r>
    </w:p>
    <w:p>
      <w:pPr>
        <w:pStyle w:val="Compact"/>
        <w:numPr>
          <w:ilvl w:val="0"/>
          <w:numId w:val="1015"/>
        </w:numPr>
      </w:pPr>
      <w:r>
        <w:t xml:space="preserve">Display name</w:t>
      </w:r>
    </w:p>
    <w:p>
      <w:pPr>
        <w:pStyle w:val="Compact"/>
        <w:numPr>
          <w:ilvl w:val="0"/>
          <w:numId w:val="1015"/>
        </w:numPr>
      </w:pPr>
      <w:r>
        <w:t xml:space="preserve">Phone number</w:t>
      </w:r>
    </w:p>
    <w:p>
      <w:pPr>
        <w:pStyle w:val="FirstParagraph"/>
      </w:pPr>
      <w:r>
        <w:t xml:space="preserve">as a security boundary or tenant identifier.</w:t>
      </w:r>
    </w:p>
    <w:p>
      <w:pPr>
        <w:pStyle w:val="BodyText"/>
      </w:pPr>
      <w:r>
        <w:t xml:space="preserve">Human-readable identifiers may exist for business purposes, but UUID/database identity and authorization must remain authoritative.</w:t>
      </w:r>
    </w:p>
    <w:p>
      <w:r>
        <w:pict>
          <v:rect style="width:0;height:1.5pt" o:hralign="center" o:hrstd="t" o:hr="t"/>
        </w:pict>
      </w:r>
    </w:p>
    <w:bookmarkEnd w:id="25"/>
    <w:bookmarkStart w:id="26" w:name="communication-module"/>
    <w:p>
      <w:pPr>
        <w:pStyle w:val="Heading1"/>
      </w:pPr>
      <w:r>
        <w:t xml:space="preserve">8. Communication Module</w:t>
      </w:r>
    </w:p>
    <w:p>
      <w:pPr>
        <w:pStyle w:val="FirstParagraph"/>
      </w:pPr>
      <w:r>
        <w:t xml:space="preserve">The Communication module follows this navigation:</w:t>
      </w:r>
    </w:p>
    <w:p>
      <w:pPr>
        <w:pStyle w:val="SourceCode"/>
      </w:pPr>
      <w:r>
        <w:rPr>
          <w:rStyle w:val="VerbatimChar"/>
        </w:rPr>
        <w:t xml:space="preserve">Communication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Conversations</w:t>
      </w:r>
      <w:r>
        <w:br/>
      </w:r>
      <w:r>
        <w:rPr>
          <w:rStyle w:val="VerbatimChar"/>
        </w:rPr>
        <w:t xml:space="preserve">├── Campaigns</w:t>
      </w:r>
      <w:r>
        <w:br/>
      </w:r>
      <w:r>
        <w:rPr>
          <w:rStyle w:val="VerbatimChar"/>
        </w:rPr>
        <w:t xml:space="preserve">│   ├── Campaigns</w:t>
      </w:r>
      <w:r>
        <w:br/>
      </w:r>
      <w:r>
        <w:rPr>
          <w:rStyle w:val="VerbatimChar"/>
        </w:rPr>
        <w:t xml:space="preserve">│   ├── Contacts</w:t>
      </w:r>
      <w:r>
        <w:br/>
      </w:r>
      <w:r>
        <w:rPr>
          <w:rStyle w:val="VerbatimChar"/>
        </w:rPr>
        <w:t xml:space="preserve">│   └── Segments</w:t>
      </w:r>
      <w:r>
        <w:br/>
      </w:r>
      <w:r>
        <w:rPr>
          <w:rStyle w:val="VerbatimChar"/>
        </w:rPr>
        <w:t xml:space="preserve">├── Templates</w:t>
      </w:r>
      <w:r>
        <w:br/>
      </w:r>
      <w:r>
        <w:rPr>
          <w:rStyle w:val="VerbatimChar"/>
        </w:rPr>
        <w:t xml:space="preserve">├── Automation</w:t>
      </w:r>
      <w:r>
        <w:br/>
      </w:r>
      <w:r>
        <w:rPr>
          <w:rStyle w:val="VerbatimChar"/>
        </w:rPr>
        <w:t xml:space="preserve">└── Settings</w:t>
      </w:r>
    </w:p>
    <w:p>
      <w:pPr>
        <w:pStyle w:val="FirstParagraph"/>
      </w:pPr>
      <w:r>
        <w:t xml:space="preserve">The module must remain generic.</w:t>
      </w:r>
    </w:p>
    <w:p>
      <w:pPr>
        <w:pStyle w:val="BodyText"/>
      </w:pPr>
      <w:r>
        <w:t xml:space="preserve">Do not rename the architecture around WhatsApp.</w:t>
      </w:r>
    </w:p>
    <w:p>
      <w:r>
        <w:pict>
          <v:rect style="width:0;height:1.5pt" o:hralign="center" o:hrstd="t" o:hr="t"/>
        </w:pict>
      </w:r>
    </w:p>
    <w:bookmarkEnd w:id="26"/>
    <w:bookmarkStart w:id="27" w:name="conversations"/>
    <w:p>
      <w:pPr>
        <w:pStyle w:val="Heading1"/>
      </w:pPr>
      <w:r>
        <w:t xml:space="preserve">9. Conversations</w:t>
      </w:r>
    </w:p>
    <w:p>
      <w:pPr>
        <w:pStyle w:val="FirstParagraph"/>
      </w:pPr>
      <w:r>
        <w:t xml:space="preserve">Conversations represent communication between the business and contacts.</w:t>
      </w:r>
    </w:p>
    <w:p>
      <w:pPr>
        <w:pStyle w:val="BodyText"/>
      </w:pPr>
      <w:r>
        <w:t xml:space="preserve">The system should support:</w:t>
      </w:r>
    </w:p>
    <w:p>
      <w:pPr>
        <w:pStyle w:val="Compact"/>
        <w:numPr>
          <w:ilvl w:val="0"/>
          <w:numId w:val="1016"/>
        </w:numPr>
      </w:pPr>
      <w:r>
        <w:t xml:space="preserve">Conversation history</w:t>
      </w:r>
    </w:p>
    <w:p>
      <w:pPr>
        <w:pStyle w:val="Compact"/>
        <w:numPr>
          <w:ilvl w:val="0"/>
          <w:numId w:val="1016"/>
        </w:numPr>
      </w:pPr>
      <w:r>
        <w:t xml:space="preserve">Messages</w:t>
      </w:r>
    </w:p>
    <w:p>
      <w:pPr>
        <w:pStyle w:val="Compact"/>
        <w:numPr>
          <w:ilvl w:val="0"/>
          <w:numId w:val="1016"/>
        </w:numPr>
      </w:pPr>
      <w:r>
        <w:t xml:space="preserve">Contact association</w:t>
      </w:r>
    </w:p>
    <w:p>
      <w:pPr>
        <w:pStyle w:val="Compact"/>
        <w:numPr>
          <w:ilvl w:val="0"/>
          <w:numId w:val="1016"/>
        </w:numPr>
      </w:pPr>
      <w:r>
        <w:t xml:space="preserve">Provider information</w:t>
      </w:r>
    </w:p>
    <w:p>
      <w:pPr>
        <w:pStyle w:val="Compact"/>
        <w:numPr>
          <w:ilvl w:val="0"/>
          <w:numId w:val="1016"/>
        </w:numPr>
      </w:pPr>
      <w:r>
        <w:t xml:space="preserve">Message status</w:t>
      </w:r>
    </w:p>
    <w:p>
      <w:pPr>
        <w:pStyle w:val="Compact"/>
        <w:numPr>
          <w:ilvl w:val="0"/>
          <w:numId w:val="1016"/>
        </w:numPr>
      </w:pPr>
      <w:r>
        <w:t xml:space="preserve">Assignment/ownership where applicable</w:t>
      </w:r>
    </w:p>
    <w:p>
      <w:pPr>
        <w:pStyle w:val="Compact"/>
        <w:numPr>
          <w:ilvl w:val="0"/>
          <w:numId w:val="1016"/>
        </w:numPr>
      </w:pPr>
      <w:r>
        <w:t xml:space="preserve">Realtime updates</w:t>
      </w:r>
    </w:p>
    <w:p>
      <w:pPr>
        <w:pStyle w:val="Compact"/>
        <w:numPr>
          <w:ilvl w:val="0"/>
          <w:numId w:val="1016"/>
        </w:numPr>
      </w:pPr>
      <w:r>
        <w:t xml:space="preserve">Provider-independent communication</w:t>
      </w:r>
    </w:p>
    <w:p>
      <w:pPr>
        <w:pStyle w:val="FirstParagraph"/>
      </w:pPr>
      <w:r>
        <w:t xml:space="preserve">Conversation UI should remain simple and operational.</w:t>
      </w:r>
    </w:p>
    <w:p>
      <w:pPr>
        <w:pStyle w:val="BodyText"/>
      </w:pPr>
      <w:r>
        <w:t xml:space="preserve">Avoid unnecessary complexity.</w:t>
      </w:r>
    </w:p>
    <w:p>
      <w:r>
        <w:pict>
          <v:rect style="width:0;height:1.5pt" o:hralign="center" o:hrstd="t" o:hr="t"/>
        </w:pict>
      </w:r>
    </w:p>
    <w:bookmarkEnd w:id="27"/>
    <w:bookmarkStart w:id="28" w:name="campaigns"/>
    <w:p>
      <w:pPr>
        <w:pStyle w:val="Heading1"/>
      </w:pPr>
      <w:r>
        <w:t xml:space="preserve">10. Campaigns</w:t>
      </w:r>
    </w:p>
    <w:p>
      <w:pPr>
        <w:pStyle w:val="FirstParagraph"/>
      </w:pPr>
      <w:r>
        <w:t xml:space="preserve">Campaigns are intended for outbound communication.</w:t>
      </w:r>
    </w:p>
    <w:p>
      <w:pPr>
        <w:pStyle w:val="BodyText"/>
      </w:pPr>
      <w:r>
        <w:t xml:space="preserve">Campaign architecture must support:</w:t>
      </w:r>
    </w:p>
    <w:p>
      <w:pPr>
        <w:pStyle w:val="Compact"/>
        <w:numPr>
          <w:ilvl w:val="0"/>
          <w:numId w:val="1017"/>
        </w:numPr>
      </w:pPr>
      <w:r>
        <w:t xml:space="preserve">Contacts</w:t>
      </w:r>
    </w:p>
    <w:p>
      <w:pPr>
        <w:pStyle w:val="Compact"/>
        <w:numPr>
          <w:ilvl w:val="0"/>
          <w:numId w:val="1017"/>
        </w:numPr>
      </w:pPr>
      <w:r>
        <w:t xml:space="preserve">Segments</w:t>
      </w:r>
    </w:p>
    <w:p>
      <w:pPr>
        <w:pStyle w:val="Compact"/>
        <w:numPr>
          <w:ilvl w:val="0"/>
          <w:numId w:val="1017"/>
        </w:numPr>
      </w:pPr>
      <w:r>
        <w:t xml:space="preserve">Campaign configuration</w:t>
      </w:r>
    </w:p>
    <w:p>
      <w:pPr>
        <w:pStyle w:val="Compact"/>
        <w:numPr>
          <w:ilvl w:val="0"/>
          <w:numId w:val="1017"/>
        </w:numPr>
      </w:pPr>
      <w:r>
        <w:t xml:space="preserve">Templates</w:t>
      </w:r>
    </w:p>
    <w:p>
      <w:pPr>
        <w:pStyle w:val="Compact"/>
        <w:numPr>
          <w:ilvl w:val="0"/>
          <w:numId w:val="1017"/>
        </w:numPr>
      </w:pPr>
      <w:r>
        <w:t xml:space="preserve">Provider selection</w:t>
      </w:r>
    </w:p>
    <w:p>
      <w:pPr>
        <w:pStyle w:val="Compact"/>
        <w:numPr>
          <w:ilvl w:val="0"/>
          <w:numId w:val="1017"/>
        </w:numPr>
      </w:pPr>
      <w:r>
        <w:t xml:space="preserve">Message sending</w:t>
      </w:r>
    </w:p>
    <w:p>
      <w:pPr>
        <w:pStyle w:val="Compact"/>
        <w:numPr>
          <w:ilvl w:val="0"/>
          <w:numId w:val="1017"/>
        </w:numPr>
      </w:pPr>
      <w:r>
        <w:t xml:space="preserve">Delivery tracking</w:t>
      </w:r>
    </w:p>
    <w:p>
      <w:pPr>
        <w:pStyle w:val="Compact"/>
        <w:numPr>
          <w:ilvl w:val="0"/>
          <w:numId w:val="1017"/>
        </w:numPr>
      </w:pPr>
      <w:r>
        <w:t xml:space="preserve">Response tracking</w:t>
      </w:r>
    </w:p>
    <w:p>
      <w:pPr>
        <w:pStyle w:val="Compact"/>
        <w:numPr>
          <w:ilvl w:val="0"/>
          <w:numId w:val="1017"/>
        </w:numPr>
      </w:pPr>
      <w:r>
        <w:t xml:space="preserve">Campaign analytics</w:t>
      </w:r>
    </w:p>
    <w:p>
      <w:pPr>
        <w:pStyle w:val="FirstParagraph"/>
      </w:pPr>
      <w:r>
        <w:t xml:space="preserve">CSV imports must be validated before being used for outbound communication.</w:t>
      </w:r>
    </w:p>
    <w:p>
      <w:pPr>
        <w:pStyle w:val="BodyText"/>
      </w:pPr>
      <w:r>
        <w:t xml:space="preserve">Do not send arbitrary unvalidated user input directly to a provider.</w:t>
      </w:r>
    </w:p>
    <w:p>
      <w:r>
        <w:pict>
          <v:rect style="width:0;height:1.5pt" o:hralign="center" o:hrstd="t" o:hr="t"/>
        </w:pict>
      </w:r>
    </w:p>
    <w:bookmarkEnd w:id="28"/>
    <w:bookmarkStart w:id="29" w:name="templates"/>
    <w:p>
      <w:pPr>
        <w:pStyle w:val="Heading1"/>
      </w:pPr>
      <w:r>
        <w:t xml:space="preserve">11. Templates</w:t>
      </w:r>
    </w:p>
    <w:p>
      <w:pPr>
        <w:pStyle w:val="FirstParagraph"/>
      </w:pPr>
      <w:r>
        <w:t xml:space="preserve">Templates are reusable communication content.</w:t>
      </w:r>
    </w:p>
    <w:p>
      <w:pPr>
        <w:pStyle w:val="BodyText"/>
      </w:pPr>
      <w:r>
        <w:t xml:space="preserve">Provider-specific requirements must be handled through the provider architecture.</w:t>
      </w:r>
    </w:p>
    <w:p>
      <w:pPr>
        <w:pStyle w:val="BodyText"/>
      </w:pPr>
      <w:r>
        <w:t xml:space="preserve">For providers such as Meta/WhatsApp where templates require approval or specific formats:</w:t>
      </w:r>
    </w:p>
    <w:p>
      <w:pPr>
        <w:pStyle w:val="Compact"/>
        <w:numPr>
          <w:ilvl w:val="0"/>
          <w:numId w:val="1018"/>
        </w:numPr>
      </w:pPr>
      <w:r>
        <w:t xml:space="preserve">Store provider-specific metadata where required.</w:t>
      </w:r>
    </w:p>
    <w:p>
      <w:pPr>
        <w:pStyle w:val="Compact"/>
        <w:numPr>
          <w:ilvl w:val="0"/>
          <w:numId w:val="1018"/>
        </w:numPr>
      </w:pPr>
      <w:r>
        <w:t xml:space="preserve">Do not assume every message can be sent as arbitrary text.</w:t>
      </w:r>
    </w:p>
    <w:p>
      <w:pPr>
        <w:pStyle w:val="Compact"/>
        <w:numPr>
          <w:ilvl w:val="0"/>
          <w:numId w:val="1018"/>
        </w:numPr>
      </w:pPr>
      <w:r>
        <w:t xml:space="preserve">Keep provider restrictions out of generic communication abstractions wherever possible.</w:t>
      </w:r>
    </w:p>
    <w:p>
      <w:r>
        <w:pict>
          <v:rect style="width:0;height:1.5pt" o:hralign="center" o:hrstd="t" o:hr="t"/>
        </w:pict>
      </w:r>
    </w:p>
    <w:bookmarkEnd w:id="29"/>
    <w:bookmarkStart w:id="30" w:name="automation-engine"/>
    <w:p>
      <w:pPr>
        <w:pStyle w:val="Heading1"/>
      </w:pPr>
      <w:r>
        <w:t xml:space="preserve">12. Automation Engine</w:t>
      </w:r>
    </w:p>
    <w:p>
      <w:pPr>
        <w:pStyle w:val="FirstParagraph"/>
      </w:pPr>
      <w:r>
        <w:t xml:space="preserve">Automation is a</w:t>
      </w:r>
      <w:r>
        <w:t xml:space="preserve"> </w:t>
      </w:r>
      <w:r>
        <w:rPr>
          <w:b/>
          <w:bCs/>
        </w:rPr>
        <w:t xml:space="preserve">step-based workflow system</w:t>
      </w:r>
      <w:r>
        <w:t xml:space="preserve">.</w:t>
      </w:r>
    </w:p>
    <w:p>
      <w:pPr>
        <w:pStyle w:val="BodyText"/>
      </w:pPr>
      <w:r>
        <w:t xml:space="preserve">The preferred architecture is:</w:t>
      </w:r>
    </w:p>
    <w:p>
      <w:pPr>
        <w:pStyle w:val="SourceCode"/>
      </w:pP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Step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Condition / 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Step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Completion</w:t>
      </w:r>
    </w:p>
    <w:p>
      <w:pPr>
        <w:pStyle w:val="FirstParagraph"/>
      </w:pPr>
      <w:r>
        <w:t xml:space="preserve">Do not introduce a drag-and-drop workflow builder unless explicitly approved.</w:t>
      </w:r>
    </w:p>
    <w:p>
      <w:pPr>
        <w:pStyle w:val="BodyText"/>
      </w:pPr>
      <w:r>
        <w:t xml:space="preserve">Automation must be:</w:t>
      </w:r>
    </w:p>
    <w:p>
      <w:pPr>
        <w:pStyle w:val="Compact"/>
        <w:numPr>
          <w:ilvl w:val="0"/>
          <w:numId w:val="1019"/>
        </w:numPr>
      </w:pPr>
      <w:r>
        <w:t xml:space="preserve">Deterministic</w:t>
      </w:r>
    </w:p>
    <w:p>
      <w:pPr>
        <w:pStyle w:val="Compact"/>
        <w:numPr>
          <w:ilvl w:val="0"/>
          <w:numId w:val="1019"/>
        </w:numPr>
      </w:pPr>
      <w:r>
        <w:t xml:space="preserve">Traceable</w:t>
      </w:r>
    </w:p>
    <w:p>
      <w:pPr>
        <w:pStyle w:val="Compact"/>
        <w:numPr>
          <w:ilvl w:val="0"/>
          <w:numId w:val="1019"/>
        </w:numPr>
      </w:pPr>
      <w:r>
        <w:t xml:space="preserve">Tenant-safe</w:t>
      </w:r>
    </w:p>
    <w:p>
      <w:pPr>
        <w:pStyle w:val="Compact"/>
        <w:numPr>
          <w:ilvl w:val="0"/>
          <w:numId w:val="1019"/>
        </w:numPr>
      </w:pPr>
      <w:r>
        <w:t xml:space="preserve">Retry-aware</w:t>
      </w:r>
    </w:p>
    <w:p>
      <w:pPr>
        <w:pStyle w:val="Compact"/>
        <w:numPr>
          <w:ilvl w:val="0"/>
          <w:numId w:val="1019"/>
        </w:numPr>
      </w:pPr>
      <w:r>
        <w:t xml:space="preserve">Observable</w:t>
      </w:r>
    </w:p>
    <w:p>
      <w:pPr>
        <w:pStyle w:val="Compact"/>
        <w:numPr>
          <w:ilvl w:val="0"/>
          <w:numId w:val="1019"/>
        </w:numPr>
      </w:pPr>
      <w:r>
        <w:t xml:space="preserve">Provider-independent</w:t>
      </w:r>
    </w:p>
    <w:p>
      <w:pPr>
        <w:pStyle w:val="FirstParagraph"/>
      </w:pPr>
      <w:r>
        <w:t xml:space="preserve">Automation execution must not silently fail.</w:t>
      </w:r>
    </w:p>
    <w:p>
      <w:pPr>
        <w:pStyle w:val="BodyText"/>
      </w:pPr>
      <w:r>
        <w:t xml:space="preserve">Failures should be logged and observable.</w:t>
      </w:r>
    </w:p>
    <w:p>
      <w:r>
        <w:pict>
          <v:rect style="width:0;height:1.5pt" o:hralign="center" o:hrstd="t" o:hr="t"/>
        </w:pict>
      </w:r>
    </w:p>
    <w:bookmarkEnd w:id="30"/>
    <w:bookmarkStart w:id="31" w:name="external-provider-rules"/>
    <w:p>
      <w:pPr>
        <w:pStyle w:val="Heading1"/>
      </w:pPr>
      <w:r>
        <w:t xml:space="preserve">13. External Provider Rules</w:t>
      </w:r>
    </w:p>
    <w:p>
      <w:pPr>
        <w:pStyle w:val="FirstParagraph"/>
      </w:pPr>
      <w:r>
        <w:t xml:space="preserve">External APIs are unreliable by nature.</w:t>
      </w:r>
    </w:p>
    <w:p>
      <w:pPr>
        <w:pStyle w:val="BodyText"/>
      </w:pPr>
      <w:r>
        <w:t xml:space="preserve">Provider integrations must account for:</w:t>
      </w:r>
    </w:p>
    <w:p>
      <w:pPr>
        <w:pStyle w:val="Compact"/>
        <w:numPr>
          <w:ilvl w:val="0"/>
          <w:numId w:val="1020"/>
        </w:numPr>
      </w:pPr>
      <w:r>
        <w:t xml:space="preserve">Authentication failures</w:t>
      </w:r>
    </w:p>
    <w:p>
      <w:pPr>
        <w:pStyle w:val="Compact"/>
        <w:numPr>
          <w:ilvl w:val="0"/>
          <w:numId w:val="1020"/>
        </w:numPr>
      </w:pPr>
      <w:r>
        <w:t xml:space="preserve">Rate limits</w:t>
      </w:r>
    </w:p>
    <w:p>
      <w:pPr>
        <w:pStyle w:val="Compact"/>
        <w:numPr>
          <w:ilvl w:val="0"/>
          <w:numId w:val="1020"/>
        </w:numPr>
      </w:pPr>
      <w:r>
        <w:t xml:space="preserve">Timeouts</w:t>
      </w:r>
    </w:p>
    <w:p>
      <w:pPr>
        <w:pStyle w:val="Compact"/>
        <w:numPr>
          <w:ilvl w:val="0"/>
          <w:numId w:val="1020"/>
        </w:numPr>
      </w:pPr>
      <w:r>
        <w:t xml:space="preserve">Invalid payloads</w:t>
      </w:r>
    </w:p>
    <w:p>
      <w:pPr>
        <w:pStyle w:val="Compact"/>
        <w:numPr>
          <w:ilvl w:val="0"/>
          <w:numId w:val="1020"/>
        </w:numPr>
      </w:pPr>
      <w:r>
        <w:t xml:space="preserve">Provider errors</w:t>
      </w:r>
    </w:p>
    <w:p>
      <w:pPr>
        <w:pStyle w:val="Compact"/>
        <w:numPr>
          <w:ilvl w:val="0"/>
          <w:numId w:val="1020"/>
        </w:numPr>
      </w:pPr>
      <w:r>
        <w:t xml:space="preserve">Duplicate requests</w:t>
      </w:r>
    </w:p>
    <w:p>
      <w:pPr>
        <w:pStyle w:val="Compact"/>
        <w:numPr>
          <w:ilvl w:val="0"/>
          <w:numId w:val="1020"/>
        </w:numPr>
      </w:pPr>
      <w:r>
        <w:t xml:space="preserve">Partial failures</w:t>
      </w:r>
    </w:p>
    <w:p>
      <w:pPr>
        <w:pStyle w:val="Compact"/>
        <w:numPr>
          <w:ilvl w:val="0"/>
          <w:numId w:val="1020"/>
        </w:numPr>
      </w:pPr>
      <w:r>
        <w:t xml:space="preserve">Temporary outages</w:t>
      </w:r>
    </w:p>
    <w:p>
      <w:pPr>
        <w:pStyle w:val="FirstParagraph"/>
      </w:pPr>
      <w:r>
        <w:t xml:space="preserve">Where appropriate, use:</w:t>
      </w:r>
    </w:p>
    <w:p>
      <w:pPr>
        <w:pStyle w:val="Compact"/>
        <w:numPr>
          <w:ilvl w:val="0"/>
          <w:numId w:val="1021"/>
        </w:numPr>
      </w:pPr>
      <w:r>
        <w:t xml:space="preserve">Retries</w:t>
      </w:r>
    </w:p>
    <w:p>
      <w:pPr>
        <w:pStyle w:val="Compact"/>
        <w:numPr>
          <w:ilvl w:val="0"/>
          <w:numId w:val="1021"/>
        </w:numPr>
      </w:pPr>
      <w:r>
        <w:t xml:space="preserve">Idempotency</w:t>
      </w:r>
    </w:p>
    <w:p>
      <w:pPr>
        <w:pStyle w:val="Compact"/>
        <w:numPr>
          <w:ilvl w:val="0"/>
          <w:numId w:val="1021"/>
        </w:numPr>
      </w:pPr>
      <w:r>
        <w:t xml:space="preserve">Queueing</w:t>
      </w:r>
    </w:p>
    <w:p>
      <w:pPr>
        <w:pStyle w:val="Compact"/>
        <w:numPr>
          <w:ilvl w:val="0"/>
          <w:numId w:val="1021"/>
        </w:numPr>
      </w:pPr>
      <w:r>
        <w:t xml:space="preserve">Status tracking</w:t>
      </w:r>
    </w:p>
    <w:p>
      <w:pPr>
        <w:pStyle w:val="Compact"/>
        <w:numPr>
          <w:ilvl w:val="0"/>
          <w:numId w:val="1021"/>
        </w:numPr>
      </w:pPr>
      <w:r>
        <w:t xml:space="preserve">Error logging</w:t>
      </w:r>
    </w:p>
    <w:p>
      <w:pPr>
        <w:pStyle w:val="FirstParagraph"/>
      </w:pPr>
      <w:r>
        <w:t xml:space="preserve">Never assume an external API call succeeded merely because the request was sent.</w:t>
      </w:r>
    </w:p>
    <w:p>
      <w:r>
        <w:pict>
          <v:rect style="width:0;height:1.5pt" o:hralign="center" o:hrstd="t" o:hr="t"/>
        </w:pict>
      </w:r>
    </w:p>
    <w:bookmarkEnd w:id="31"/>
    <w:bookmarkStart w:id="32" w:name="secrets-and-credentials"/>
    <w:p>
      <w:pPr>
        <w:pStyle w:val="Heading1"/>
      </w:pPr>
      <w:r>
        <w:t xml:space="preserve">14. Secrets and Credentials</w:t>
      </w:r>
    </w:p>
    <w:p>
      <w:pPr>
        <w:pStyle w:val="FirstParagraph"/>
      </w:pPr>
      <w:r>
        <w:t xml:space="preserve">Never expose:</w:t>
      </w:r>
    </w:p>
    <w:p>
      <w:pPr>
        <w:pStyle w:val="Compact"/>
        <w:numPr>
          <w:ilvl w:val="0"/>
          <w:numId w:val="1022"/>
        </w:numPr>
      </w:pPr>
      <w:r>
        <w:t xml:space="preserve">Supabase service-role keys</w:t>
      </w:r>
    </w:p>
    <w:p>
      <w:pPr>
        <w:pStyle w:val="Compact"/>
        <w:numPr>
          <w:ilvl w:val="0"/>
          <w:numId w:val="1022"/>
        </w:numPr>
      </w:pPr>
      <w:r>
        <w:t xml:space="preserve">Provider access tokens</w:t>
      </w:r>
    </w:p>
    <w:p>
      <w:pPr>
        <w:pStyle w:val="Compact"/>
        <w:numPr>
          <w:ilvl w:val="0"/>
          <w:numId w:val="1022"/>
        </w:numPr>
      </w:pPr>
      <w:r>
        <w:t xml:space="preserve">API secrets</w:t>
      </w:r>
    </w:p>
    <w:p>
      <w:pPr>
        <w:pStyle w:val="Compact"/>
        <w:numPr>
          <w:ilvl w:val="0"/>
          <w:numId w:val="1022"/>
        </w:numPr>
      </w:pPr>
      <w:r>
        <w:t xml:space="preserve">Private keys</w:t>
      </w:r>
    </w:p>
    <w:p>
      <w:pPr>
        <w:pStyle w:val="Compact"/>
        <w:numPr>
          <w:ilvl w:val="0"/>
          <w:numId w:val="1022"/>
        </w:numPr>
      </w:pPr>
      <w:r>
        <w:t xml:space="preserve">Webhook secrets</w:t>
      </w:r>
    </w:p>
    <w:p>
      <w:pPr>
        <w:pStyle w:val="Compact"/>
        <w:numPr>
          <w:ilvl w:val="0"/>
          <w:numId w:val="1022"/>
        </w:numPr>
      </w:pPr>
      <w:r>
        <w:t xml:space="preserve">Encryption secrets</w:t>
      </w:r>
    </w:p>
    <w:p>
      <w:pPr>
        <w:pStyle w:val="FirstParagraph"/>
      </w:pPr>
      <w:r>
        <w:t xml:space="preserve">to client-side code.</w:t>
      </w:r>
    </w:p>
    <w:p>
      <w:pPr>
        <w:pStyle w:val="BodyText"/>
      </w:pPr>
      <w:r>
        <w:t xml:space="preserve">Secrets belong in server-side environment variables or secure secret management.</w:t>
      </w:r>
    </w:p>
    <w:p>
      <w:pPr>
        <w:pStyle w:val="BodyText"/>
      </w:pPr>
      <w:r>
        <w:t xml:space="preserve">Never commit secrets to Git.</w:t>
      </w:r>
    </w:p>
    <w:p>
      <w:pPr>
        <w:pStyle w:val="BodyText"/>
      </w:pPr>
      <w:r>
        <w:t xml:space="preserve">Never place secrets in:</w:t>
      </w:r>
    </w:p>
    <w:p>
      <w:pPr>
        <w:pStyle w:val="Compact"/>
        <w:numPr>
          <w:ilvl w:val="0"/>
          <w:numId w:val="1023"/>
        </w:numPr>
      </w:pPr>
      <w:r>
        <w:t xml:space="preserve">React components</w:t>
      </w:r>
    </w:p>
    <w:p>
      <w:pPr>
        <w:pStyle w:val="Compact"/>
        <w:numPr>
          <w:ilvl w:val="0"/>
          <w:numId w:val="1023"/>
        </w:numPr>
      </w:pPr>
      <w:r>
        <w:t xml:space="preserve">Client-side JavaScript</w:t>
      </w:r>
    </w:p>
    <w:p>
      <w:pPr>
        <w:pStyle w:val="Compact"/>
        <w:numPr>
          <w:ilvl w:val="0"/>
          <w:numId w:val="1023"/>
        </w:numPr>
      </w:pPr>
      <w:r>
        <w:t xml:space="preserve">Public environment variables</w:t>
      </w:r>
    </w:p>
    <w:p>
      <w:pPr>
        <w:pStyle w:val="Compact"/>
        <w:numPr>
          <w:ilvl w:val="0"/>
          <w:numId w:val="1023"/>
        </w:numPr>
      </w:pPr>
      <w:r>
        <w:t xml:space="preserve">Database rows accessible to normal users</w:t>
      </w:r>
    </w:p>
    <w:p>
      <w:r>
        <w:pict>
          <v:rect style="width:0;height:1.5pt" o:hralign="center" o:hrstd="t" o:hr="t"/>
        </w:pict>
      </w:r>
    </w:p>
    <w:bookmarkEnd w:id="32"/>
    <w:bookmarkStart w:id="33" w:name="api-rules"/>
    <w:p>
      <w:pPr>
        <w:pStyle w:val="Heading1"/>
      </w:pPr>
      <w:r>
        <w:t xml:space="preserve">15. API Rules</w:t>
      </w:r>
    </w:p>
    <w:p>
      <w:pPr>
        <w:pStyle w:val="FirstParagraph"/>
      </w:pPr>
      <w:r>
        <w:t xml:space="preserve">APIs must:</w:t>
      </w:r>
    </w:p>
    <w:p>
      <w:pPr>
        <w:pStyle w:val="Compact"/>
        <w:numPr>
          <w:ilvl w:val="0"/>
          <w:numId w:val="1024"/>
        </w:numPr>
      </w:pPr>
      <w:r>
        <w:t xml:space="preserve">Authenticate requests.</w:t>
      </w:r>
    </w:p>
    <w:p>
      <w:pPr>
        <w:pStyle w:val="Compact"/>
        <w:numPr>
          <w:ilvl w:val="0"/>
          <w:numId w:val="1024"/>
        </w:numPr>
      </w:pPr>
      <w:r>
        <w:t xml:space="preserve">Validate inputs.</w:t>
      </w:r>
    </w:p>
    <w:p>
      <w:pPr>
        <w:pStyle w:val="Compact"/>
        <w:numPr>
          <w:ilvl w:val="0"/>
          <w:numId w:val="1024"/>
        </w:numPr>
      </w:pPr>
      <w:r>
        <w:t xml:space="preserve">Enforce tenant access.</w:t>
      </w:r>
    </w:p>
    <w:p>
      <w:pPr>
        <w:pStyle w:val="Compact"/>
        <w:numPr>
          <w:ilvl w:val="0"/>
          <w:numId w:val="1024"/>
        </w:numPr>
      </w:pPr>
      <w:r>
        <w:t xml:space="preserve">Return predictable responses.</w:t>
      </w:r>
    </w:p>
    <w:p>
      <w:pPr>
        <w:pStyle w:val="Compact"/>
        <w:numPr>
          <w:ilvl w:val="0"/>
          <w:numId w:val="1024"/>
        </w:numPr>
      </w:pPr>
      <w:r>
        <w:t xml:space="preserve">Handle errors explicitly.</w:t>
      </w:r>
    </w:p>
    <w:p>
      <w:pPr>
        <w:pStyle w:val="Compact"/>
        <w:numPr>
          <w:ilvl w:val="0"/>
          <w:numId w:val="1024"/>
        </w:numPr>
      </w:pPr>
      <w:r>
        <w:t xml:space="preserve">Avoid leaking sensitive implementation details.</w:t>
      </w:r>
    </w:p>
    <w:p>
      <w:pPr>
        <w:pStyle w:val="FirstParagraph"/>
      </w:pPr>
      <w:r>
        <w:t xml:space="preserve">Never trust: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provider_account_id</w:t>
      </w:r>
    </w:p>
    <w:p>
      <w:pPr>
        <w:pStyle w:val="FirstParagraph"/>
      </w:pPr>
      <w:r>
        <w:t xml:space="preserve">when supplied directly by an untrusted client.</w:t>
      </w:r>
    </w:p>
    <w:p>
      <w:pPr>
        <w:pStyle w:val="BodyText"/>
      </w:pPr>
      <w:r>
        <w:t xml:space="preserve">Derive authoritative identity from the authenticated session/context.</w:t>
      </w:r>
    </w:p>
    <w:p>
      <w:r>
        <w:pict>
          <v:rect style="width:0;height:1.5pt" o:hralign="center" o:hrstd="t" o:hr="t"/>
        </w:pict>
      </w:r>
    </w:p>
    <w:bookmarkEnd w:id="33"/>
    <w:bookmarkStart w:id="34" w:name="frontend-rules"/>
    <w:p>
      <w:pPr>
        <w:pStyle w:val="Heading1"/>
      </w:pPr>
      <w:r>
        <w:t xml:space="preserve">16. Frontend Rules</w:t>
      </w:r>
    </w:p>
    <w:p>
      <w:pPr>
        <w:pStyle w:val="FirstParagraph"/>
      </w:pPr>
      <w:r>
        <w:t xml:space="preserve">The frontend follows:</w:t>
      </w:r>
    </w:p>
    <w:p>
      <w:pPr>
        <w:pStyle w:val="Compact"/>
        <w:numPr>
          <w:ilvl w:val="0"/>
          <w:numId w:val="1025"/>
        </w:numPr>
      </w:pPr>
      <w:r>
        <w:t xml:space="preserve">Mobile-first design</w:t>
      </w:r>
    </w:p>
    <w:p>
      <w:pPr>
        <w:pStyle w:val="Compact"/>
        <w:numPr>
          <w:ilvl w:val="0"/>
          <w:numId w:val="1025"/>
        </w:numPr>
      </w:pPr>
      <w:r>
        <w:t xml:space="preserve">Premium SaaS aesthetics</w:t>
      </w:r>
    </w:p>
    <w:p>
      <w:pPr>
        <w:pStyle w:val="Compact"/>
        <w:numPr>
          <w:ilvl w:val="0"/>
          <w:numId w:val="1025"/>
        </w:numPr>
      </w:pPr>
      <w:r>
        <w:t xml:space="preserve">Minimal UI</w:t>
      </w:r>
    </w:p>
    <w:p>
      <w:pPr>
        <w:pStyle w:val="Compact"/>
        <w:numPr>
          <w:ilvl w:val="0"/>
          <w:numId w:val="1025"/>
        </w:numPr>
      </w:pPr>
      <w:r>
        <w:t xml:space="preserve">Dark-theme-first visual language</w:t>
      </w:r>
    </w:p>
    <w:p>
      <w:pPr>
        <w:pStyle w:val="Compact"/>
        <w:numPr>
          <w:ilvl w:val="0"/>
          <w:numId w:val="1025"/>
        </w:numPr>
      </w:pPr>
      <w:r>
        <w:t xml:space="preserve">Clear hierarchy</w:t>
      </w:r>
    </w:p>
    <w:p>
      <w:pPr>
        <w:pStyle w:val="Compact"/>
        <w:numPr>
          <w:ilvl w:val="0"/>
          <w:numId w:val="1025"/>
        </w:numPr>
      </w:pPr>
      <w:r>
        <w:t xml:space="preserve">Consistent components</w:t>
      </w:r>
    </w:p>
    <w:p>
      <w:pPr>
        <w:pStyle w:val="Compact"/>
        <w:numPr>
          <w:ilvl w:val="0"/>
          <w:numId w:val="1025"/>
        </w:numPr>
      </w:pPr>
      <w:r>
        <w:t xml:space="preserve">Responsive layouts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6"/>
        </w:numPr>
      </w:pPr>
      <w:r>
        <w:t xml:space="preserve">Unnecessary UI decoration</w:t>
      </w:r>
    </w:p>
    <w:p>
      <w:pPr>
        <w:pStyle w:val="Compact"/>
        <w:numPr>
          <w:ilvl w:val="0"/>
          <w:numId w:val="1026"/>
        </w:numPr>
      </w:pPr>
      <w:r>
        <w:t xml:space="preserve">Excessive animations</w:t>
      </w:r>
    </w:p>
    <w:p>
      <w:pPr>
        <w:pStyle w:val="Compact"/>
        <w:numPr>
          <w:ilvl w:val="0"/>
          <w:numId w:val="1026"/>
        </w:numPr>
      </w:pPr>
      <w:r>
        <w:t xml:space="preserve">Duplicate components</w:t>
      </w:r>
    </w:p>
    <w:p>
      <w:pPr>
        <w:pStyle w:val="Compact"/>
        <w:numPr>
          <w:ilvl w:val="0"/>
          <w:numId w:val="1026"/>
        </w:numPr>
      </w:pPr>
      <w:r>
        <w:t xml:space="preserve">Hardcoded business data</w:t>
      </w:r>
    </w:p>
    <w:p>
      <w:pPr>
        <w:pStyle w:val="Compact"/>
        <w:numPr>
          <w:ilvl w:val="0"/>
          <w:numId w:val="1026"/>
        </w:numPr>
      </w:pPr>
      <w:r>
        <w:t xml:space="preserve">Provider-specific logic in UI components</w:t>
      </w:r>
    </w:p>
    <w:p>
      <w:pPr>
        <w:pStyle w:val="FirstParagraph"/>
      </w:pPr>
      <w:r>
        <w:t xml:space="preserve">Reusable components belong in the component architecture defined by the project.</w:t>
      </w:r>
    </w:p>
    <w:p>
      <w:r>
        <w:pict>
          <v:rect style="width:0;height:1.5pt" o:hralign="center" o:hrstd="t" o:hr="t"/>
        </w:pict>
      </w:r>
    </w:p>
    <w:bookmarkEnd w:id="34"/>
    <w:bookmarkStart w:id="35" w:name="component-architecture"/>
    <w:p>
      <w:pPr>
        <w:pStyle w:val="Heading1"/>
      </w:pPr>
      <w:r>
        <w:t xml:space="preserve">17. Component Architecture</w:t>
      </w:r>
    </w:p>
    <w:p>
      <w:pPr>
        <w:pStyle w:val="FirstParagraph"/>
      </w:pPr>
      <w:r>
        <w:t xml:space="preserve">Before creating a new component:</w:t>
      </w:r>
    </w:p>
    <w:p>
      <w:pPr>
        <w:pStyle w:val="Compact"/>
        <w:numPr>
          <w:ilvl w:val="0"/>
          <w:numId w:val="1027"/>
        </w:numPr>
      </w:pPr>
      <w:r>
        <w:t xml:space="preserve">Search for an existing component.</w:t>
      </w:r>
    </w:p>
    <w:p>
      <w:pPr>
        <w:pStyle w:val="Compact"/>
        <w:numPr>
          <w:ilvl w:val="0"/>
          <w:numId w:val="1027"/>
        </w:numPr>
      </w:pPr>
      <w:r>
        <w:t xml:space="preserve">Reuse it if appropriate.</w:t>
      </w:r>
    </w:p>
    <w:p>
      <w:pPr>
        <w:pStyle w:val="Compact"/>
        <w:numPr>
          <w:ilvl w:val="0"/>
          <w:numId w:val="1027"/>
        </w:numPr>
      </w:pPr>
      <w:r>
        <w:t xml:space="preserve">Extend it if the new behavior is generic.</w:t>
      </w:r>
    </w:p>
    <w:p>
      <w:pPr>
        <w:pStyle w:val="Compact"/>
        <w:numPr>
          <w:ilvl w:val="0"/>
          <w:numId w:val="1027"/>
        </w:numPr>
      </w:pPr>
      <w:r>
        <w:t xml:space="preserve">Create a new component only when necessary.</w:t>
      </w:r>
    </w:p>
    <w:p>
      <w:pPr>
        <w:pStyle w:val="FirstParagraph"/>
      </w:pPr>
      <w:r>
        <w:t xml:space="preserve">Do not create multiple slightly different versions of the same UI.</w:t>
      </w:r>
    </w:p>
    <w:p>
      <w:pPr>
        <w:pStyle w:val="BodyText"/>
      </w:pPr>
      <w:r>
        <w:t xml:space="preserve">Components should have clear responsibilities.</w:t>
      </w:r>
    </w:p>
    <w:p>
      <w:pPr>
        <w:pStyle w:val="BodyText"/>
      </w:pPr>
      <w:r>
        <w:t xml:space="preserve">Avoid giant components containing:</w:t>
      </w:r>
    </w:p>
    <w:p>
      <w:pPr>
        <w:pStyle w:val="Compact"/>
        <w:numPr>
          <w:ilvl w:val="0"/>
          <w:numId w:val="1028"/>
        </w:numPr>
      </w:pPr>
      <w:r>
        <w:t xml:space="preserve">UI</w:t>
      </w:r>
    </w:p>
    <w:p>
      <w:pPr>
        <w:pStyle w:val="Compact"/>
        <w:numPr>
          <w:ilvl w:val="0"/>
          <w:numId w:val="1028"/>
        </w:numPr>
      </w:pPr>
      <w:r>
        <w:t xml:space="preserve">Database calls</w:t>
      </w:r>
    </w:p>
    <w:p>
      <w:pPr>
        <w:pStyle w:val="Compact"/>
        <w:numPr>
          <w:ilvl w:val="0"/>
          <w:numId w:val="1028"/>
        </w:numPr>
      </w:pPr>
      <w:r>
        <w:t xml:space="preserve">Business logic</w:t>
      </w:r>
    </w:p>
    <w:p>
      <w:pPr>
        <w:pStyle w:val="Compact"/>
        <w:numPr>
          <w:ilvl w:val="0"/>
          <w:numId w:val="1028"/>
        </w:numPr>
      </w:pPr>
      <w:r>
        <w:t xml:space="preserve">Provider logic</w:t>
      </w:r>
    </w:p>
    <w:p>
      <w:pPr>
        <w:pStyle w:val="Compact"/>
        <w:numPr>
          <w:ilvl w:val="0"/>
          <w:numId w:val="1028"/>
        </w:numPr>
      </w:pPr>
      <w:r>
        <w:t xml:space="preserve">Authorization</w:t>
      </w:r>
    </w:p>
    <w:p>
      <w:pPr>
        <w:pStyle w:val="FirstParagraph"/>
      </w:pPr>
      <w:r>
        <w:t xml:space="preserve">all together.</w:t>
      </w:r>
    </w:p>
    <w:p>
      <w:r>
        <w:pict>
          <v:rect style="width:0;height:1.5pt" o:hralign="center" o:hrstd="t" o:hr="t"/>
        </w:pict>
      </w:r>
    </w:p>
    <w:bookmarkEnd w:id="35"/>
    <w:bookmarkStart w:id="36" w:name="folder-structure"/>
    <w:p>
      <w:pPr>
        <w:pStyle w:val="Heading1"/>
      </w:pPr>
      <w:r>
        <w:t xml:space="preserve">18. Folder Structure</w:t>
      </w:r>
    </w:p>
    <w:p>
      <w:pPr>
        <w:pStyle w:val="FirstParagraph"/>
      </w:pPr>
      <w:r>
        <w:t xml:space="preserve">Follow the documented project folder structure.</w:t>
      </w:r>
    </w:p>
    <w:p>
      <w:pPr>
        <w:pStyle w:val="BodyText"/>
      </w:pPr>
      <w:r>
        <w:t xml:space="preserve">Do not randomly create:</w:t>
      </w:r>
    </w:p>
    <w:p>
      <w:pPr>
        <w:pStyle w:val="SourceCode"/>
      </w:pPr>
      <w:r>
        <w:rPr>
          <w:rStyle w:val="VerbatimChar"/>
        </w:rPr>
        <w:t xml:space="preserve">utils/</w:t>
      </w:r>
      <w:r>
        <w:br/>
      </w:r>
      <w:r>
        <w:rPr>
          <w:rStyle w:val="VerbatimChar"/>
        </w:rPr>
        <w:t xml:space="preserve">helpers/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lib/</w:t>
      </w:r>
    </w:p>
    <w:p>
      <w:pPr>
        <w:pStyle w:val="FirstParagraph"/>
      </w:pPr>
      <w:r>
        <w:t xml:space="preserve">without understanding the existing architecture.</w:t>
      </w:r>
    </w:p>
    <w:p>
      <w:pPr>
        <w:pStyle w:val="BodyText"/>
      </w:pPr>
      <w:r>
        <w:t xml:space="preserve">If functionality belongs to an existing architectural layer, put it there.</w:t>
      </w:r>
    </w:p>
    <w:p>
      <w:pPr>
        <w:pStyle w:val="BodyText"/>
      </w:pPr>
      <w:r>
        <w:t xml:space="preserve">Consistency is more important than personal preference.</w:t>
      </w:r>
    </w:p>
    <w:p>
      <w:r>
        <w:pict>
          <v:rect style="width:0;height:1.5pt" o:hralign="center" o:hrstd="t" o:hr="t"/>
        </w:pict>
      </w:r>
    </w:p>
    <w:bookmarkEnd w:id="36"/>
    <w:bookmarkStart w:id="37" w:name="realtime"/>
    <w:p>
      <w:pPr>
        <w:pStyle w:val="Heading1"/>
      </w:pPr>
      <w:r>
        <w:t xml:space="preserve">19. Realtime</w:t>
      </w:r>
    </w:p>
    <w:p>
      <w:pPr>
        <w:pStyle w:val="FirstParagraph"/>
      </w:pPr>
      <w:r>
        <w:t xml:space="preserve">Supabase Realtime should be used only where realtime behavior provides meaningful value.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9"/>
        </w:numPr>
      </w:pPr>
      <w:r>
        <w:t xml:space="preserve">New messages</w:t>
      </w:r>
    </w:p>
    <w:p>
      <w:pPr>
        <w:pStyle w:val="Compact"/>
        <w:numPr>
          <w:ilvl w:val="0"/>
          <w:numId w:val="1029"/>
        </w:numPr>
      </w:pPr>
      <w:r>
        <w:t xml:space="preserve">Conversation updates</w:t>
      </w:r>
    </w:p>
    <w:p>
      <w:pPr>
        <w:pStyle w:val="Compact"/>
        <w:numPr>
          <w:ilvl w:val="0"/>
          <w:numId w:val="1029"/>
        </w:numPr>
      </w:pPr>
      <w:r>
        <w:t xml:space="preserve">Campaign status</w:t>
      </w:r>
    </w:p>
    <w:p>
      <w:pPr>
        <w:pStyle w:val="Compact"/>
        <w:numPr>
          <w:ilvl w:val="0"/>
          <w:numId w:val="1029"/>
        </w:numPr>
      </w:pPr>
      <w:r>
        <w:t xml:space="preserve">Order status</w:t>
      </w:r>
    </w:p>
    <w:p>
      <w:pPr>
        <w:pStyle w:val="Compact"/>
        <w:numPr>
          <w:ilvl w:val="0"/>
          <w:numId w:val="1029"/>
        </w:numPr>
      </w:pPr>
      <w:r>
        <w:t xml:space="preserve">Operational dashboards</w:t>
      </w:r>
    </w:p>
    <w:p>
      <w:pPr>
        <w:pStyle w:val="FirstParagraph"/>
      </w:pPr>
      <w:r>
        <w:t xml:space="preserve">Do not add realtime subscriptions everywhere.</w:t>
      </w:r>
    </w:p>
    <w:p>
      <w:pPr>
        <w:pStyle w:val="BodyText"/>
      </w:pPr>
      <w:r>
        <w:t xml:space="preserve">Avoid unnecessary subscriptions that increase complexity or database load.</w:t>
      </w:r>
    </w:p>
    <w:p>
      <w:r>
        <w:pict>
          <v:rect style="width:0;height:1.5pt" o:hralign="center" o:hrstd="t" o:hr="t"/>
        </w:pict>
      </w:r>
    </w:p>
    <w:bookmarkEnd w:id="37"/>
    <w:bookmarkStart w:id="38" w:name="performance"/>
    <w:p>
      <w:pPr>
        <w:pStyle w:val="Heading1"/>
      </w:pPr>
      <w:r>
        <w:t xml:space="preserve">20. Performance</w:t>
      </w:r>
    </w:p>
    <w:p>
      <w:pPr>
        <w:pStyle w:val="FirstParagraph"/>
      </w:pPr>
      <w:r>
        <w:t xml:space="preserve">Performance must be considered before adding functionality.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30"/>
        </w:numPr>
      </w:pPr>
      <w:r>
        <w:t xml:space="preserve">Server-side operations where appropriate</w:t>
      </w:r>
    </w:p>
    <w:p>
      <w:pPr>
        <w:pStyle w:val="Compact"/>
        <w:numPr>
          <w:ilvl w:val="0"/>
          <w:numId w:val="1030"/>
        </w:numPr>
      </w:pPr>
      <w:r>
        <w:t xml:space="preserve">Efficient database queries</w:t>
      </w:r>
    </w:p>
    <w:p>
      <w:pPr>
        <w:pStyle w:val="Compact"/>
        <w:numPr>
          <w:ilvl w:val="0"/>
          <w:numId w:val="1030"/>
        </w:numPr>
      </w:pPr>
      <w:r>
        <w:t xml:space="preserve">Proper indexes</w:t>
      </w:r>
    </w:p>
    <w:p>
      <w:pPr>
        <w:pStyle w:val="Compact"/>
        <w:numPr>
          <w:ilvl w:val="0"/>
          <w:numId w:val="1030"/>
        </w:numPr>
      </w:pPr>
      <w:r>
        <w:t xml:space="preserve">Pagination</w:t>
      </w:r>
    </w:p>
    <w:p>
      <w:pPr>
        <w:pStyle w:val="Compact"/>
        <w:numPr>
          <w:ilvl w:val="0"/>
          <w:numId w:val="1030"/>
        </w:numPr>
      </w:pPr>
      <w:r>
        <w:t xml:space="preserve">Lazy loading</w:t>
      </w:r>
    </w:p>
    <w:p>
      <w:pPr>
        <w:pStyle w:val="Compact"/>
        <w:numPr>
          <w:ilvl w:val="0"/>
          <w:numId w:val="1030"/>
        </w:numPr>
      </w:pPr>
      <w:r>
        <w:t xml:space="preserve">Realtime only where useful</w:t>
      </w:r>
    </w:p>
    <w:p>
      <w:pPr>
        <w:pStyle w:val="Compact"/>
        <w:numPr>
          <w:ilvl w:val="0"/>
          <w:numId w:val="1030"/>
        </w:numPr>
      </w:pPr>
      <w:r>
        <w:t xml:space="preserve">Caching where appropriate</w:t>
      </w:r>
    </w:p>
    <w:p>
      <w:pPr>
        <w:pStyle w:val="Compact"/>
        <w:numPr>
          <w:ilvl w:val="0"/>
          <w:numId w:val="1030"/>
        </w:numPr>
      </w:pPr>
      <w:r>
        <w:t xml:space="preserve">Minimal client-side data fetching</w:t>
      </w:r>
    </w:p>
    <w:p>
      <w:pPr>
        <w:pStyle w:val="FirstParagraph"/>
      </w:pPr>
      <w:r>
        <w:t xml:space="preserve">Never solve a performance problem by weakening security.</w:t>
      </w:r>
    </w:p>
    <w:p>
      <w:pPr>
        <w:pStyle w:val="BodyText"/>
      </w:pPr>
      <w:r>
        <w:t xml:space="preserve">Never remove RLS because a query is inconvenient.</w:t>
      </w:r>
    </w:p>
    <w:p>
      <w:r>
        <w:pict>
          <v:rect style="width:0;height:1.5pt" o:hralign="center" o:hrstd="t" o:hr="t"/>
        </w:pict>
      </w:r>
    </w:p>
    <w:bookmarkEnd w:id="38"/>
    <w:bookmarkStart w:id="39" w:name="error-handling"/>
    <w:p>
      <w:pPr>
        <w:pStyle w:val="Heading1"/>
      </w:pPr>
      <w:r>
        <w:t xml:space="preserve">21. Error Handling</w:t>
      </w:r>
    </w:p>
    <w:p>
      <w:pPr>
        <w:pStyle w:val="FirstParagraph"/>
      </w:pPr>
      <w:r>
        <w:t xml:space="preserve">Errors must be:</w:t>
      </w:r>
    </w:p>
    <w:p>
      <w:pPr>
        <w:pStyle w:val="Compact"/>
        <w:numPr>
          <w:ilvl w:val="0"/>
          <w:numId w:val="1031"/>
        </w:numPr>
      </w:pPr>
      <w:r>
        <w:t xml:space="preserve">Explicit</w:t>
      </w:r>
    </w:p>
    <w:p>
      <w:pPr>
        <w:pStyle w:val="Compact"/>
        <w:numPr>
          <w:ilvl w:val="0"/>
          <w:numId w:val="1031"/>
        </w:numPr>
      </w:pPr>
      <w:r>
        <w:t xml:space="preserve">Structured</w:t>
      </w:r>
    </w:p>
    <w:p>
      <w:pPr>
        <w:pStyle w:val="Compact"/>
        <w:numPr>
          <w:ilvl w:val="0"/>
          <w:numId w:val="1031"/>
        </w:numPr>
      </w:pPr>
      <w:r>
        <w:t xml:space="preserve">Meaningful</w:t>
      </w:r>
    </w:p>
    <w:p>
      <w:pPr>
        <w:pStyle w:val="Compact"/>
        <w:numPr>
          <w:ilvl w:val="0"/>
          <w:numId w:val="1031"/>
        </w:numPr>
      </w:pPr>
      <w:r>
        <w:t xml:space="preserve">Logged where appropriate</w:t>
      </w:r>
    </w:p>
    <w:p>
      <w:pPr>
        <w:pStyle w:val="Compact"/>
        <w:numPr>
          <w:ilvl w:val="0"/>
          <w:numId w:val="1031"/>
        </w:numPr>
      </w:pPr>
      <w:r>
        <w:t xml:space="preserve">Safe for users</w:t>
      </w:r>
    </w:p>
    <w:p>
      <w:pPr>
        <w:pStyle w:val="FirstParagraph"/>
      </w:pPr>
      <w:r>
        <w:t xml:space="preserve">Never silently swallow errors.</w:t>
      </w:r>
    </w:p>
    <w:p>
      <w:pPr>
        <w:pStyle w:val="BodyText"/>
      </w:pPr>
      <w:r>
        <w:t xml:space="preserve">Never expose:</w:t>
      </w:r>
    </w:p>
    <w:p>
      <w:pPr>
        <w:pStyle w:val="Compact"/>
        <w:numPr>
          <w:ilvl w:val="0"/>
          <w:numId w:val="1032"/>
        </w:numPr>
      </w:pPr>
      <w:r>
        <w:t xml:space="preserve">SQL errors</w:t>
      </w:r>
    </w:p>
    <w:p>
      <w:pPr>
        <w:pStyle w:val="Compact"/>
        <w:numPr>
          <w:ilvl w:val="0"/>
          <w:numId w:val="1032"/>
        </w:numPr>
      </w:pPr>
      <w:r>
        <w:t xml:space="preserve">Access tokens</w:t>
      </w:r>
    </w:p>
    <w:p>
      <w:pPr>
        <w:pStyle w:val="Compact"/>
        <w:numPr>
          <w:ilvl w:val="0"/>
          <w:numId w:val="1032"/>
        </w:numPr>
      </w:pPr>
      <w:r>
        <w:t xml:space="preserve">Internal stack traces</w:t>
      </w:r>
    </w:p>
    <w:p>
      <w:pPr>
        <w:pStyle w:val="Compact"/>
        <w:numPr>
          <w:ilvl w:val="0"/>
          <w:numId w:val="1032"/>
        </w:numPr>
      </w:pPr>
      <w:r>
        <w:t xml:space="preserve">Provider secrets</w:t>
      </w:r>
    </w:p>
    <w:p>
      <w:pPr>
        <w:pStyle w:val="Compact"/>
        <w:numPr>
          <w:ilvl w:val="0"/>
          <w:numId w:val="1032"/>
        </w:numPr>
      </w:pPr>
      <w:r>
        <w:t xml:space="preserve">Sensitive database information</w:t>
      </w:r>
    </w:p>
    <w:p>
      <w:pPr>
        <w:pStyle w:val="FirstParagraph"/>
      </w:pPr>
      <w:r>
        <w:t xml:space="preserve">to end users.</w:t>
      </w:r>
    </w:p>
    <w:p>
      <w:r>
        <w:pict>
          <v:rect style="width:0;height:1.5pt" o:hralign="center" o:hrstd="t" o:hr="t"/>
        </w:pict>
      </w:r>
    </w:p>
    <w:bookmarkEnd w:id="39"/>
    <w:bookmarkStart w:id="40" w:name="logging-and-observability"/>
    <w:p>
      <w:pPr>
        <w:pStyle w:val="Heading1"/>
      </w:pPr>
      <w:r>
        <w:t xml:space="preserve">22. Logging and Observability</w:t>
      </w:r>
    </w:p>
    <w:p>
      <w:pPr>
        <w:pStyle w:val="FirstParagraph"/>
      </w:pPr>
      <w:r>
        <w:t xml:space="preserve">Important operations should be traceable.</w:t>
      </w:r>
    </w:p>
    <w:p>
      <w:pPr>
        <w:pStyle w:val="BodyText"/>
      </w:pPr>
      <w:r>
        <w:t xml:space="preserve">Particularly:</w:t>
      </w:r>
    </w:p>
    <w:p>
      <w:pPr>
        <w:pStyle w:val="Compact"/>
        <w:numPr>
          <w:ilvl w:val="0"/>
          <w:numId w:val="1033"/>
        </w:numPr>
      </w:pPr>
      <w:r>
        <w:t xml:space="preserve">Authentication events</w:t>
      </w:r>
    </w:p>
    <w:p>
      <w:pPr>
        <w:pStyle w:val="Compact"/>
        <w:numPr>
          <w:ilvl w:val="0"/>
          <w:numId w:val="1033"/>
        </w:numPr>
      </w:pPr>
      <w:r>
        <w:t xml:space="preserve">Campaign execution</w:t>
      </w:r>
    </w:p>
    <w:p>
      <w:pPr>
        <w:pStyle w:val="Compact"/>
        <w:numPr>
          <w:ilvl w:val="0"/>
          <w:numId w:val="1033"/>
        </w:numPr>
      </w:pPr>
      <w:r>
        <w:t xml:space="preserve">Message sending</w:t>
      </w:r>
    </w:p>
    <w:p>
      <w:pPr>
        <w:pStyle w:val="Compact"/>
        <w:numPr>
          <w:ilvl w:val="0"/>
          <w:numId w:val="1033"/>
        </w:numPr>
      </w:pPr>
      <w:r>
        <w:t xml:space="preserve">Automation execution</w:t>
      </w:r>
    </w:p>
    <w:p>
      <w:pPr>
        <w:pStyle w:val="Compact"/>
        <w:numPr>
          <w:ilvl w:val="0"/>
          <w:numId w:val="1033"/>
        </w:numPr>
      </w:pPr>
      <w:r>
        <w:t xml:space="preserve">Provider failures</w:t>
      </w:r>
    </w:p>
    <w:p>
      <w:pPr>
        <w:pStyle w:val="Compact"/>
        <w:numPr>
          <w:ilvl w:val="0"/>
          <w:numId w:val="1033"/>
        </w:numPr>
      </w:pPr>
      <w:r>
        <w:t xml:space="preserve">Webhook processing</w:t>
      </w:r>
    </w:p>
    <w:p>
      <w:pPr>
        <w:pStyle w:val="Compact"/>
        <w:numPr>
          <w:ilvl w:val="0"/>
          <w:numId w:val="1033"/>
        </w:numPr>
      </w:pPr>
      <w:r>
        <w:t xml:space="preserve">Payment operations</w:t>
      </w:r>
    </w:p>
    <w:p>
      <w:pPr>
        <w:pStyle w:val="Compact"/>
        <w:numPr>
          <w:ilvl w:val="0"/>
          <w:numId w:val="1033"/>
        </w:numPr>
      </w:pPr>
      <w:r>
        <w:t xml:space="preserve">Important business actions</w:t>
      </w:r>
    </w:p>
    <w:p>
      <w:pPr>
        <w:pStyle w:val="FirstParagraph"/>
      </w:pPr>
      <w:r>
        <w:t xml:space="preserve">Logs should contain enough context to debug issues without exposing secrets or sensitive information.</w:t>
      </w:r>
    </w:p>
    <w:p>
      <w:r>
        <w:pict>
          <v:rect style="width:0;height:1.5pt" o:hralign="center" o:hrstd="t" o:hr="t"/>
        </w:pict>
      </w:r>
    </w:p>
    <w:bookmarkEnd w:id="40"/>
    <w:bookmarkStart w:id="41" w:name="webhooks"/>
    <w:p>
      <w:pPr>
        <w:pStyle w:val="Heading1"/>
      </w:pPr>
      <w:r>
        <w:t xml:space="preserve">23. Webhooks</w:t>
      </w:r>
    </w:p>
    <w:p>
      <w:pPr>
        <w:pStyle w:val="FirstParagraph"/>
      </w:pPr>
      <w:r>
        <w:t xml:space="preserve">Webhook handlers must assume requests may be:</w:t>
      </w:r>
    </w:p>
    <w:p>
      <w:pPr>
        <w:pStyle w:val="Compact"/>
        <w:numPr>
          <w:ilvl w:val="0"/>
          <w:numId w:val="1034"/>
        </w:numPr>
      </w:pPr>
      <w:r>
        <w:t xml:space="preserve">Duplicated</w:t>
      </w:r>
    </w:p>
    <w:p>
      <w:pPr>
        <w:pStyle w:val="Compact"/>
        <w:numPr>
          <w:ilvl w:val="0"/>
          <w:numId w:val="1034"/>
        </w:numPr>
      </w:pPr>
      <w:r>
        <w:t xml:space="preserve">Delayed</w:t>
      </w:r>
    </w:p>
    <w:p>
      <w:pPr>
        <w:pStyle w:val="Compact"/>
        <w:numPr>
          <w:ilvl w:val="0"/>
          <w:numId w:val="1034"/>
        </w:numPr>
      </w:pPr>
      <w:r>
        <w:t xml:space="preserve">Out of order</w:t>
      </w:r>
    </w:p>
    <w:p>
      <w:pPr>
        <w:pStyle w:val="Compact"/>
        <w:numPr>
          <w:ilvl w:val="0"/>
          <w:numId w:val="1034"/>
        </w:numPr>
      </w:pPr>
      <w:r>
        <w:t xml:space="preserve">Invalid</w:t>
      </w:r>
    </w:p>
    <w:p>
      <w:pPr>
        <w:pStyle w:val="Compact"/>
        <w:numPr>
          <w:ilvl w:val="0"/>
          <w:numId w:val="1034"/>
        </w:numPr>
      </w:pPr>
      <w:r>
        <w:t xml:space="preserve">Retried by the provider</w:t>
      </w:r>
    </w:p>
    <w:p>
      <w:pPr>
        <w:pStyle w:val="FirstParagraph"/>
      </w:pPr>
      <w:r>
        <w:t xml:space="preserve">Webhook processing should therefore be:</w:t>
      </w:r>
    </w:p>
    <w:p>
      <w:pPr>
        <w:pStyle w:val="Compact"/>
        <w:numPr>
          <w:ilvl w:val="0"/>
          <w:numId w:val="1035"/>
        </w:numPr>
      </w:pPr>
      <w:r>
        <w:t xml:space="preserve">Authenticated/verified</w:t>
      </w:r>
    </w:p>
    <w:p>
      <w:pPr>
        <w:pStyle w:val="Compact"/>
        <w:numPr>
          <w:ilvl w:val="0"/>
          <w:numId w:val="1035"/>
        </w:numPr>
      </w:pPr>
      <w:r>
        <w:t xml:space="preserve">Idempotent where necessary</w:t>
      </w:r>
    </w:p>
    <w:p>
      <w:pPr>
        <w:pStyle w:val="Compact"/>
        <w:numPr>
          <w:ilvl w:val="0"/>
          <w:numId w:val="1035"/>
        </w:numPr>
      </w:pPr>
      <w:r>
        <w:t xml:space="preserve">Validated</w:t>
      </w:r>
    </w:p>
    <w:p>
      <w:pPr>
        <w:pStyle w:val="Compact"/>
        <w:numPr>
          <w:ilvl w:val="0"/>
          <w:numId w:val="1035"/>
        </w:numPr>
      </w:pPr>
      <w:r>
        <w:t xml:space="preserve">Tenant-aware</w:t>
      </w:r>
    </w:p>
    <w:p>
      <w:pPr>
        <w:pStyle w:val="Compact"/>
        <w:numPr>
          <w:ilvl w:val="0"/>
          <w:numId w:val="1035"/>
        </w:numPr>
      </w:pPr>
      <w:r>
        <w:t xml:space="preserve">Safe against duplicate processing</w:t>
      </w:r>
    </w:p>
    <w:p>
      <w:pPr>
        <w:pStyle w:val="FirstParagraph"/>
      </w:pPr>
      <w:r>
        <w:t xml:space="preserve">Never blindly trust webhook payloads.</w:t>
      </w:r>
    </w:p>
    <w:p>
      <w:r>
        <w:pict>
          <v:rect style="width:0;height:1.5pt" o:hralign="center" o:hrstd="t" o:hr="t"/>
        </w:pict>
      </w:r>
    </w:p>
    <w:bookmarkEnd w:id="41"/>
    <w:bookmarkStart w:id="42" w:name="payments"/>
    <w:p>
      <w:pPr>
        <w:pStyle w:val="Heading1"/>
      </w:pPr>
      <w:r>
        <w:t xml:space="preserve">24. Payments</w:t>
      </w:r>
    </w:p>
    <w:p>
      <w:pPr>
        <w:pStyle w:val="FirstParagraph"/>
      </w:pPr>
      <w:r>
        <w:t xml:space="preserve">Payment functionality must remain separate from generic communication architecture.</w:t>
      </w:r>
    </w:p>
    <w:p>
      <w:pPr>
        <w:pStyle w:val="BodyText"/>
      </w:pPr>
      <w:r>
        <w:t xml:space="preserve">For Razorpay or other payment providers:</w:t>
      </w:r>
    </w:p>
    <w:p>
      <w:pPr>
        <w:pStyle w:val="Compact"/>
        <w:numPr>
          <w:ilvl w:val="0"/>
          <w:numId w:val="1036"/>
        </w:numPr>
      </w:pPr>
      <w:r>
        <w:t xml:space="preserve">Verify payment server-side.</w:t>
      </w:r>
    </w:p>
    <w:p>
      <w:pPr>
        <w:pStyle w:val="Compact"/>
        <w:numPr>
          <w:ilvl w:val="0"/>
          <w:numId w:val="1036"/>
        </w:numPr>
      </w:pPr>
      <w:r>
        <w:t xml:space="preserve">Never trust client-side payment success alone.</w:t>
      </w:r>
    </w:p>
    <w:p>
      <w:pPr>
        <w:pStyle w:val="Compact"/>
        <w:numPr>
          <w:ilvl w:val="0"/>
          <w:numId w:val="1036"/>
        </w:numPr>
      </w:pPr>
      <w:r>
        <w:t xml:space="preserve">Store appropriate transaction references.</w:t>
      </w:r>
    </w:p>
    <w:p>
      <w:pPr>
        <w:pStyle w:val="Compact"/>
        <w:numPr>
          <w:ilvl w:val="0"/>
          <w:numId w:val="1036"/>
        </w:numPr>
      </w:pPr>
      <w:r>
        <w:t xml:space="preserve">Handle failed, pending, and successful states.</w:t>
      </w:r>
    </w:p>
    <w:p>
      <w:pPr>
        <w:pStyle w:val="Compact"/>
        <w:numPr>
          <w:ilvl w:val="0"/>
          <w:numId w:val="1036"/>
        </w:numPr>
      </w:pPr>
      <w:r>
        <w:t xml:space="preserve">Design for webhook/retry scenarios.</w:t>
      </w:r>
    </w:p>
    <w:p>
      <w:pPr>
        <w:pStyle w:val="FirstParagraph"/>
      </w:pPr>
      <w:r>
        <w:t xml:space="preserve">Payment credentials must remain server-side.</w:t>
      </w:r>
    </w:p>
    <w:p>
      <w:r>
        <w:pict>
          <v:rect style="width:0;height:1.5pt" o:hralign="center" o:hrstd="t" o:hr="t"/>
        </w:pict>
      </w:r>
    </w:p>
    <w:bookmarkEnd w:id="42"/>
    <w:bookmarkStart w:id="43" w:name="airmenu-ordering"/>
    <w:p>
      <w:pPr>
        <w:pStyle w:val="Heading1"/>
      </w:pPr>
      <w:r>
        <w:t xml:space="preserve">25. AirMenu / Ordering</w:t>
      </w:r>
    </w:p>
    <w:p>
      <w:pPr>
        <w:pStyle w:val="FirstParagraph"/>
      </w:pPr>
      <w:r>
        <w:t xml:space="preserve">AirMenu/QR ordering is a separate business workflow within the broader EvolvNex ecosystem.</w:t>
      </w:r>
    </w:p>
    <w:p>
      <w:pPr>
        <w:pStyle w:val="BodyText"/>
      </w:pPr>
      <w:r>
        <w:t xml:space="preserve">The architecture should support:</w:t>
      </w:r>
    </w:p>
    <w:p>
      <w:pPr>
        <w:pStyle w:val="Compact"/>
        <w:numPr>
          <w:ilvl w:val="0"/>
          <w:numId w:val="1037"/>
        </w:numPr>
      </w:pPr>
      <w:r>
        <w:t xml:space="preserve">QR-based ordering</w:t>
      </w:r>
    </w:p>
    <w:p>
      <w:pPr>
        <w:pStyle w:val="Compact"/>
        <w:numPr>
          <w:ilvl w:val="0"/>
          <w:numId w:val="1037"/>
        </w:numPr>
      </w:pPr>
      <w:r>
        <w:t xml:space="preserve">Menu retrieval</w:t>
      </w:r>
    </w:p>
    <w:p>
      <w:pPr>
        <w:pStyle w:val="Compact"/>
        <w:numPr>
          <w:ilvl w:val="0"/>
          <w:numId w:val="1037"/>
        </w:numPr>
      </w:pPr>
      <w:r>
        <w:t xml:space="preserve">Table identification</w:t>
      </w:r>
    </w:p>
    <w:p>
      <w:pPr>
        <w:pStyle w:val="Compact"/>
        <w:numPr>
          <w:ilvl w:val="0"/>
          <w:numId w:val="1037"/>
        </w:numPr>
      </w:pPr>
      <w:r>
        <w:t xml:space="preserve">Dine-in</w:t>
      </w:r>
    </w:p>
    <w:p>
      <w:pPr>
        <w:pStyle w:val="Compact"/>
        <w:numPr>
          <w:ilvl w:val="0"/>
          <w:numId w:val="1037"/>
        </w:numPr>
      </w:pPr>
      <w:r>
        <w:t xml:space="preserve">Takeaway</w:t>
      </w:r>
    </w:p>
    <w:p>
      <w:pPr>
        <w:pStyle w:val="Compact"/>
        <w:numPr>
          <w:ilvl w:val="0"/>
          <w:numId w:val="1037"/>
        </w:numPr>
      </w:pPr>
      <w:r>
        <w:t xml:space="preserve">Order creation</w:t>
      </w:r>
    </w:p>
    <w:p>
      <w:pPr>
        <w:pStyle w:val="Compact"/>
        <w:numPr>
          <w:ilvl w:val="0"/>
          <w:numId w:val="1037"/>
        </w:numPr>
      </w:pPr>
      <w:r>
        <w:t xml:space="preserve">Billing</w:t>
      </w:r>
    </w:p>
    <w:p>
      <w:pPr>
        <w:pStyle w:val="Compact"/>
        <w:numPr>
          <w:ilvl w:val="0"/>
          <w:numId w:val="1037"/>
        </w:numPr>
      </w:pPr>
      <w:r>
        <w:t xml:space="preserve">Inventory integration where applicable</w:t>
      </w:r>
    </w:p>
    <w:p>
      <w:pPr>
        <w:pStyle w:val="Compact"/>
        <w:numPr>
          <w:ilvl w:val="0"/>
          <w:numId w:val="1037"/>
        </w:numPr>
      </w:pPr>
      <w:r>
        <w:t xml:space="preserve">Payment integration</w:t>
      </w:r>
    </w:p>
    <w:p>
      <w:pPr>
        <w:pStyle w:val="FirstParagraph"/>
      </w:pPr>
      <w:r>
        <w:t xml:space="preserve">Do not mix ordering logic into generic Communication services.</w:t>
      </w:r>
    </w:p>
    <w:p>
      <w:r>
        <w:pict>
          <v:rect style="width:0;height:1.5pt" o:hralign="center" o:hrstd="t" o:hr="t"/>
        </w:pict>
      </w:r>
    </w:p>
    <w:bookmarkEnd w:id="43"/>
    <w:bookmarkStart w:id="44" w:name="ai-agent-rules"/>
    <w:p>
      <w:pPr>
        <w:pStyle w:val="Heading1"/>
      </w:pPr>
      <w:r>
        <w:t xml:space="preserve">26. AI Agent Rules</w:t>
      </w:r>
    </w:p>
    <w:p>
      <w:pPr>
        <w:pStyle w:val="FirstParagraph"/>
      </w:pPr>
      <w:r>
        <w:t xml:space="preserve">AI agents are</w:t>
      </w:r>
      <w:r>
        <w:t xml:space="preserve"> </w:t>
      </w:r>
      <w:r>
        <w:rPr>
          <w:b/>
          <w:bCs/>
        </w:rPr>
        <w:t xml:space="preserve">engineering assistants, not architectural authorities</w:t>
      </w:r>
      <w:r>
        <w:t xml:space="preserve">.</w:t>
      </w:r>
    </w:p>
    <w:p>
      <w:pPr>
        <w:pStyle w:val="BodyText"/>
      </w:pPr>
      <w:r>
        <w:t xml:space="preserve">An AI agent must:</w:t>
      </w:r>
    </w:p>
    <w:p>
      <w:pPr>
        <w:pStyle w:val="Compact"/>
        <w:numPr>
          <w:ilvl w:val="0"/>
          <w:numId w:val="1038"/>
        </w:numPr>
      </w:pPr>
      <w:r>
        <w:t xml:space="preserve">Inspect the existing code before changing it.</w:t>
      </w:r>
    </w:p>
    <w:p>
      <w:pPr>
        <w:pStyle w:val="Compact"/>
        <w:numPr>
          <w:ilvl w:val="0"/>
          <w:numId w:val="1038"/>
        </w:numPr>
      </w:pPr>
      <w:r>
        <w:t xml:space="preserve">Inspect relevant documentation.</w:t>
      </w:r>
    </w:p>
    <w:p>
      <w:pPr>
        <w:pStyle w:val="Compact"/>
        <w:numPr>
          <w:ilvl w:val="0"/>
          <w:numId w:val="1038"/>
        </w:numPr>
      </w:pPr>
      <w:r>
        <w:t xml:space="preserve">Search for existing implementations.</w:t>
      </w:r>
    </w:p>
    <w:p>
      <w:pPr>
        <w:pStyle w:val="Compact"/>
        <w:numPr>
          <w:ilvl w:val="0"/>
          <w:numId w:val="1038"/>
        </w:numPr>
      </w:pPr>
      <w:r>
        <w:t xml:space="preserve">Reuse existing abstractions.</w:t>
      </w:r>
    </w:p>
    <w:p>
      <w:pPr>
        <w:pStyle w:val="Compact"/>
        <w:numPr>
          <w:ilvl w:val="0"/>
          <w:numId w:val="1038"/>
        </w:numPr>
      </w:pPr>
      <w:r>
        <w:t xml:space="preserve">Make the smallest correct change.</w:t>
      </w:r>
    </w:p>
    <w:p>
      <w:pPr>
        <w:pStyle w:val="Compact"/>
        <w:numPr>
          <w:ilvl w:val="0"/>
          <w:numId w:val="1038"/>
        </w:numPr>
      </w:pPr>
      <w:r>
        <w:t xml:space="preserve">Preserve tenant isolation.</w:t>
      </w:r>
    </w:p>
    <w:p>
      <w:pPr>
        <w:pStyle w:val="Compact"/>
        <w:numPr>
          <w:ilvl w:val="0"/>
          <w:numId w:val="1038"/>
        </w:numPr>
      </w:pPr>
      <w:r>
        <w:t xml:space="preserve">Preserve RLS.</w:t>
      </w:r>
    </w:p>
    <w:p>
      <w:pPr>
        <w:pStyle w:val="Compact"/>
        <w:numPr>
          <w:ilvl w:val="0"/>
          <w:numId w:val="1038"/>
        </w:numPr>
      </w:pPr>
      <w:r>
        <w:t xml:space="preserve">Preserve API contracts unless explicitly instructed otherwise.</w:t>
      </w:r>
    </w:p>
    <w:p>
      <w:pPr>
        <w:pStyle w:val="Compact"/>
        <w:numPr>
          <w:ilvl w:val="0"/>
          <w:numId w:val="1038"/>
        </w:numPr>
      </w:pPr>
      <w:r>
        <w:t xml:space="preserve">Avoid unnecessary refactoring.</w:t>
      </w:r>
    </w:p>
    <w:p>
      <w:pPr>
        <w:pStyle w:val="Compact"/>
        <w:numPr>
          <w:ilvl w:val="0"/>
          <w:numId w:val="1038"/>
        </w:numPr>
      </w:pPr>
      <w:r>
        <w:t xml:space="preserve">Explain architectural impact for significant changes.</w:t>
      </w:r>
    </w:p>
    <w:p>
      <w:pPr>
        <w:pStyle w:val="FirstParagraph"/>
      </w:pPr>
      <w:r>
        <w:t xml:space="preserve">AI agents must never assume that a missing implementation means a missing architectural concept.</w:t>
      </w:r>
    </w:p>
    <w:p>
      <w:r>
        <w:pict>
          <v:rect style="width:0;height:1.5pt" o:hralign="center" o:hrstd="t" o:hr="t"/>
        </w:pict>
      </w:r>
    </w:p>
    <w:bookmarkEnd w:id="44"/>
    <w:bookmarkStart w:id="45" w:name="before-writing-code"/>
    <w:p>
      <w:pPr>
        <w:pStyle w:val="Heading1"/>
      </w:pPr>
      <w:r>
        <w:t xml:space="preserve">27. Before Writing Code</w:t>
      </w:r>
    </w:p>
    <w:p>
      <w:pPr>
        <w:pStyle w:val="FirstParagraph"/>
      </w:pPr>
      <w:r>
        <w:t xml:space="preserve">Every agent should perform this mental checklist:</w:t>
      </w:r>
    </w:p>
    <w:p>
      <w:pPr>
        <w:pStyle w:val="SourceCode"/>
      </w:pPr>
      <w:r>
        <w:rPr>
          <w:rStyle w:val="VerbatimChar"/>
        </w:rPr>
        <w:t xml:space="preserve">What feature am I changing?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architecture document defines it?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Does an existing implementation already exist?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tenant owns this data?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What RLS policy protects it?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layer should contain this logic?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Does this depend on a provider?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 the provider be abstracted?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Will this break an existing flow?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What is the smallest safe implementation?</w:t>
      </w:r>
    </w:p>
    <w:p>
      <w:r>
        <w:pict>
          <v:rect style="width:0;height:1.5pt" o:hralign="center" o:hrstd="t" o:hr="t"/>
        </w:pict>
      </w:r>
    </w:p>
    <w:bookmarkEnd w:id="45"/>
    <w:bookmarkStart w:id="46" w:name="change-discipline"/>
    <w:p>
      <w:pPr>
        <w:pStyle w:val="Heading1"/>
      </w:pPr>
      <w:r>
        <w:t xml:space="preserve">28. Change Discipline</w:t>
      </w:r>
    </w:p>
    <w:p>
      <w:pPr>
        <w:pStyle w:val="FirstParagraph"/>
      </w:pPr>
      <w:r>
        <w:t xml:space="preserve">Do not make broad changes when a narrow change is sufficient.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39"/>
        </w:numPr>
      </w:pPr>
      <w:r>
        <w:t xml:space="preserve">Unrequested refactors</w:t>
      </w:r>
    </w:p>
    <w:p>
      <w:pPr>
        <w:pStyle w:val="Compact"/>
        <w:numPr>
          <w:ilvl w:val="0"/>
          <w:numId w:val="1039"/>
        </w:numPr>
      </w:pPr>
      <w:r>
        <w:t xml:space="preserve">Renaming unrelated files</w:t>
      </w:r>
    </w:p>
    <w:p>
      <w:pPr>
        <w:pStyle w:val="Compact"/>
        <w:numPr>
          <w:ilvl w:val="0"/>
          <w:numId w:val="1039"/>
        </w:numPr>
      </w:pPr>
      <w:r>
        <w:t xml:space="preserve">Changing database structures unnecessarily</w:t>
      </w:r>
    </w:p>
    <w:p>
      <w:pPr>
        <w:pStyle w:val="Compact"/>
        <w:numPr>
          <w:ilvl w:val="0"/>
          <w:numId w:val="1039"/>
        </w:numPr>
      </w:pPr>
      <w:r>
        <w:t xml:space="preserve">Replacing libraries without approval</w:t>
      </w:r>
    </w:p>
    <w:p>
      <w:pPr>
        <w:pStyle w:val="Compact"/>
        <w:numPr>
          <w:ilvl w:val="0"/>
          <w:numId w:val="1039"/>
        </w:numPr>
      </w:pPr>
      <w:r>
        <w:t xml:space="preserve">Rewriting working architecture</w:t>
      </w:r>
    </w:p>
    <w:p>
      <w:pPr>
        <w:pStyle w:val="Compact"/>
        <w:numPr>
          <w:ilvl w:val="0"/>
          <w:numId w:val="1039"/>
        </w:numPr>
      </w:pPr>
      <w:r>
        <w:t xml:space="preserve">Removing security controls</w:t>
      </w:r>
    </w:p>
    <w:p>
      <w:pPr>
        <w:pStyle w:val="Compact"/>
        <w:numPr>
          <w:ilvl w:val="0"/>
          <w:numId w:val="1039"/>
        </w:numPr>
      </w:pPr>
      <w:r>
        <w:t xml:space="preserve">Changing design systems casually</w:t>
      </w:r>
    </w:p>
    <w:p>
      <w:pPr>
        <w:pStyle w:val="FirstParagraph"/>
      </w:pPr>
      <w:r>
        <w:t xml:space="preserve">A bug fix should fix the bug.</w:t>
      </w:r>
    </w:p>
    <w:p>
      <w:pPr>
        <w:pStyle w:val="BodyText"/>
      </w:pPr>
      <w:r>
        <w:t xml:space="preserve">A feature should implement the feature.</w:t>
      </w:r>
    </w:p>
    <w:p>
      <w:pPr>
        <w:pStyle w:val="BodyText"/>
      </w:pPr>
      <w:r>
        <w:t xml:space="preserve">Do not use the request as an excuse to redesign unrelated parts of the system.</w:t>
      </w:r>
    </w:p>
    <w:p>
      <w:r>
        <w:pict>
          <v:rect style="width:0;height:1.5pt" o:hralign="center" o:hrstd="t" o:hr="t"/>
        </w:pict>
      </w:r>
    </w:p>
    <w:bookmarkEnd w:id="46"/>
    <w:bookmarkStart w:id="53" w:name="source-of-truth-hierarchy"/>
    <w:p>
      <w:pPr>
        <w:pStyle w:val="Heading1"/>
      </w:pPr>
      <w:r>
        <w:t xml:space="preserve">29. Source-of-Truth Hierarchy</w:t>
      </w:r>
    </w:p>
    <w:p>
      <w:pPr>
        <w:pStyle w:val="FirstParagraph"/>
      </w:pPr>
      <w:r>
        <w:t xml:space="preserve">When determining what should be built, use this hierarchy:</w:t>
      </w:r>
    </w:p>
    <w:bookmarkStart w:id="47" w:name="level-1-constitution"/>
    <w:p>
      <w:pPr>
        <w:pStyle w:val="Heading3"/>
      </w:pPr>
      <w:r>
        <w:t xml:space="preserve">Level 1 — Constitution</w:t>
      </w:r>
    </w:p>
    <w:p>
      <w:pPr>
        <w:pStyle w:val="FirstParagraph"/>
      </w:pPr>
      <w:r>
        <w:t xml:space="preserve">Defines non-negotiable engineering rules.</w:t>
      </w:r>
    </w:p>
    <w:bookmarkEnd w:id="47"/>
    <w:bookmarkStart w:id="48" w:name="level-2-architecture-documentation"/>
    <w:p>
      <w:pPr>
        <w:pStyle w:val="Heading3"/>
      </w:pPr>
      <w:r>
        <w:t xml:space="preserve">Level 2 — Architecture Documentation</w:t>
      </w:r>
    </w:p>
    <w:p>
      <w:pPr>
        <w:pStyle w:val="FirstParagraph"/>
      </w:pPr>
      <w:r>
        <w:t xml:space="preserve">The numbered architecture documents define detailed implementation decisions.</w:t>
      </w:r>
    </w:p>
    <w:bookmarkEnd w:id="48"/>
    <w:bookmarkStart w:id="49" w:name="level-3-database-schema-sql"/>
    <w:p>
      <w:pPr>
        <w:pStyle w:val="Heading3"/>
      </w:pPr>
      <w:r>
        <w:t xml:space="preserve">Level 3 — Database Schema / SQL</w:t>
      </w:r>
    </w:p>
    <w:p>
      <w:pPr>
        <w:pStyle w:val="FirstParagraph"/>
      </w:pPr>
      <w:r>
        <w:t xml:space="preserve">Actual database structure and migrations define what currently exists.</w:t>
      </w:r>
    </w:p>
    <w:bookmarkEnd w:id="49"/>
    <w:bookmarkStart w:id="50" w:name="level-4-existing-production-code"/>
    <w:p>
      <w:pPr>
        <w:pStyle w:val="Heading3"/>
      </w:pPr>
      <w:r>
        <w:t xml:space="preserve">Level 4 — Existing Production Code</w:t>
      </w:r>
    </w:p>
    <w:p>
      <w:pPr>
        <w:pStyle w:val="FirstParagraph"/>
      </w:pPr>
      <w:r>
        <w:t xml:space="preserve">Existing code defines current implementation behavior.</w:t>
      </w:r>
    </w:p>
    <w:bookmarkEnd w:id="50"/>
    <w:bookmarkStart w:id="51" w:name="level-5-user-request"/>
    <w:p>
      <w:pPr>
        <w:pStyle w:val="Heading3"/>
      </w:pPr>
      <w:r>
        <w:t xml:space="preserve">Level 5 — User Request</w:t>
      </w:r>
    </w:p>
    <w:p>
      <w:pPr>
        <w:pStyle w:val="FirstParagraph"/>
      </w:pPr>
      <w:r>
        <w:t xml:space="preserve">The current task defines the requested change.</w:t>
      </w:r>
    </w:p>
    <w:bookmarkEnd w:id="51"/>
    <w:bookmarkStart w:id="52" w:name="important-rule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If a user request conflicts with security or multi-tenancy requirements,</w:t>
      </w:r>
      <w:r>
        <w:t xml:space="preserve"> </w:t>
      </w:r>
      <w:r>
        <w:rPr>
          <w:b/>
          <w:bCs/>
        </w:rPr>
        <w:t xml:space="preserve">security and tenant isolation win</w:t>
      </w:r>
      <w:r>
        <w:t xml:space="preserve">.</w:t>
      </w:r>
    </w:p>
    <w:p>
      <w:pPr>
        <w:pStyle w:val="BodyText"/>
      </w:pPr>
      <w:r>
        <w:t xml:space="preserve">If a user request conflicts with documented architecture, the agent must identify the conflict rather than silently creating a second architecture.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ocumentation-requirements"/>
    <w:p>
      <w:pPr>
        <w:pStyle w:val="Heading1"/>
      </w:pPr>
      <w:r>
        <w:t xml:space="preserve">30. Documentation Requirements</w:t>
      </w:r>
    </w:p>
    <w:p>
      <w:pPr>
        <w:pStyle w:val="FirstParagraph"/>
      </w:pPr>
      <w:r>
        <w:t xml:space="preserve">Significant architectural changes must update the appropriate documentation.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0"/>
        </w:numPr>
      </w:pPr>
      <w:r>
        <w:t xml:space="preserve">Database change → database documentation</w:t>
      </w:r>
    </w:p>
    <w:p>
      <w:pPr>
        <w:pStyle w:val="Compact"/>
        <w:numPr>
          <w:ilvl w:val="0"/>
          <w:numId w:val="1040"/>
        </w:numPr>
      </w:pPr>
      <w:r>
        <w:t xml:space="preserve">New provider → provider architecture</w:t>
      </w:r>
    </w:p>
    <w:p>
      <w:pPr>
        <w:pStyle w:val="Compact"/>
        <w:numPr>
          <w:ilvl w:val="0"/>
          <w:numId w:val="1040"/>
        </w:numPr>
      </w:pPr>
      <w:r>
        <w:t xml:space="preserve">New automation capability → automation documentation</w:t>
      </w:r>
    </w:p>
    <w:p>
      <w:pPr>
        <w:pStyle w:val="Compact"/>
        <w:numPr>
          <w:ilvl w:val="0"/>
          <w:numId w:val="1040"/>
        </w:numPr>
      </w:pPr>
      <w:r>
        <w:t xml:space="preserve">New page → page specifications</w:t>
      </w:r>
    </w:p>
    <w:p>
      <w:pPr>
        <w:pStyle w:val="Compact"/>
        <w:numPr>
          <w:ilvl w:val="0"/>
          <w:numId w:val="1040"/>
        </w:numPr>
      </w:pPr>
      <w:r>
        <w:t xml:space="preserve">API changes → API architecture</w:t>
      </w:r>
    </w:p>
    <w:p>
      <w:pPr>
        <w:pStyle w:val="Compact"/>
        <w:numPr>
          <w:ilvl w:val="0"/>
          <w:numId w:val="1040"/>
        </w:numPr>
      </w:pPr>
      <w:r>
        <w:t xml:space="preserve">Component architecture change → component documentation</w:t>
      </w:r>
    </w:p>
    <w:p>
      <w:pPr>
        <w:pStyle w:val="FirstParagraph"/>
      </w:pPr>
      <w:r>
        <w:t xml:space="preserve">Do not allow the codebase and architecture documentation to permanently diverge.</w:t>
      </w:r>
    </w:p>
    <w:p>
      <w:r>
        <w:pict>
          <v:rect style="width:0;height:1.5pt" o:hralign="center" o:hrstd="t" o:hr="t"/>
        </w:pict>
      </w:r>
    </w:p>
    <w:bookmarkEnd w:id="54"/>
    <w:bookmarkStart w:id="55" w:name="definition-of-done"/>
    <w:p>
      <w:pPr>
        <w:pStyle w:val="Heading1"/>
      </w:pPr>
      <w:r>
        <w:t xml:space="preserve">31. Definition of Done</w:t>
      </w:r>
    </w:p>
    <w:p>
      <w:pPr>
        <w:pStyle w:val="FirstParagraph"/>
      </w:pPr>
      <w:r>
        <w:t xml:space="preserve">A feature is not complete merely because the UI works.</w:t>
      </w:r>
    </w:p>
    <w:p>
      <w:pPr>
        <w:pStyle w:val="BodyText"/>
      </w:pPr>
      <w:r>
        <w:t xml:space="preserve">Before considering work complete, verify:</w:t>
      </w:r>
    </w:p>
    <w:p>
      <w:pPr>
        <w:pStyle w:val="Compact"/>
        <w:numPr>
          <w:ilvl w:val="0"/>
          <w:numId w:val="1041"/>
        </w:numPr>
      </w:pPr>
      <w:r>
        <w:t xml:space="preserve">Authentication works</w:t>
      </w:r>
    </w:p>
    <w:p>
      <w:pPr>
        <w:pStyle w:val="Compact"/>
        <w:numPr>
          <w:ilvl w:val="0"/>
          <w:numId w:val="1042"/>
        </w:numPr>
      </w:pPr>
      <w:r>
        <w:t xml:space="preserve">Tenant isolation works</w:t>
      </w:r>
    </w:p>
    <w:p>
      <w:pPr>
        <w:pStyle w:val="Compact"/>
        <w:numPr>
          <w:ilvl w:val="0"/>
          <w:numId w:val="1043"/>
        </w:numPr>
      </w:pPr>
      <w:r>
        <w:t xml:space="preserve">RLS is correct</w:t>
      </w:r>
    </w:p>
    <w:p>
      <w:pPr>
        <w:pStyle w:val="Compact"/>
        <w:numPr>
          <w:ilvl w:val="0"/>
          <w:numId w:val="1044"/>
        </w:numPr>
      </w:pPr>
      <w:r>
        <w:t xml:space="preserve">Server/client boundary is correct</w:t>
      </w:r>
    </w:p>
    <w:p>
      <w:pPr>
        <w:pStyle w:val="Compact"/>
        <w:numPr>
          <w:ilvl w:val="0"/>
          <w:numId w:val="1045"/>
        </w:numPr>
      </w:pPr>
      <w:r>
        <w:t xml:space="preserve">Input validation exists</w:t>
      </w:r>
    </w:p>
    <w:p>
      <w:pPr>
        <w:pStyle w:val="Compact"/>
        <w:numPr>
          <w:ilvl w:val="0"/>
          <w:numId w:val="1046"/>
        </w:numPr>
      </w:pPr>
      <w:r>
        <w:t xml:space="preserve">Errors are handled</w:t>
      </w:r>
    </w:p>
    <w:p>
      <w:pPr>
        <w:pStyle w:val="Compact"/>
        <w:numPr>
          <w:ilvl w:val="0"/>
          <w:numId w:val="1047"/>
        </w:numPr>
      </w:pPr>
      <w:r>
        <w:t xml:space="preserve">Existing functionality still works</w:t>
      </w:r>
    </w:p>
    <w:p>
      <w:pPr>
        <w:pStyle w:val="Compact"/>
        <w:numPr>
          <w:ilvl w:val="0"/>
          <w:numId w:val="1048"/>
        </w:numPr>
      </w:pPr>
      <w:r>
        <w:t xml:space="preserve">Provider abstraction is respected</w:t>
      </w:r>
    </w:p>
    <w:p>
      <w:pPr>
        <w:pStyle w:val="Compact"/>
        <w:numPr>
          <w:ilvl w:val="0"/>
          <w:numId w:val="1049"/>
        </w:numPr>
      </w:pPr>
      <w:r>
        <w:t xml:space="preserve">Database indexes are considered</w:t>
      </w:r>
    </w:p>
    <w:p>
      <w:pPr>
        <w:pStyle w:val="Compact"/>
        <w:numPr>
          <w:ilvl w:val="0"/>
          <w:numId w:val="1050"/>
        </w:numPr>
      </w:pPr>
      <w:r>
        <w:t xml:space="preserve">Realtime behavior is appropriate</w:t>
      </w:r>
    </w:p>
    <w:p>
      <w:pPr>
        <w:pStyle w:val="Compact"/>
        <w:numPr>
          <w:ilvl w:val="0"/>
          <w:numId w:val="1051"/>
        </w:numPr>
      </w:pPr>
      <w:r>
        <w:t xml:space="preserve">Mobile UI works</w:t>
      </w:r>
    </w:p>
    <w:p>
      <w:pPr>
        <w:pStyle w:val="Compact"/>
        <w:numPr>
          <w:ilvl w:val="0"/>
          <w:numId w:val="1052"/>
        </w:numPr>
      </w:pPr>
      <w:r>
        <w:t xml:space="preserve">Loading states exist where needed</w:t>
      </w:r>
    </w:p>
    <w:p>
      <w:pPr>
        <w:pStyle w:val="Compact"/>
        <w:numPr>
          <w:ilvl w:val="0"/>
          <w:numId w:val="1053"/>
        </w:numPr>
      </w:pPr>
      <w:r>
        <w:t xml:space="preserve">Empty states exist where needed</w:t>
      </w:r>
    </w:p>
    <w:p>
      <w:pPr>
        <w:pStyle w:val="Compact"/>
        <w:numPr>
          <w:ilvl w:val="0"/>
          <w:numId w:val="1054"/>
        </w:numPr>
      </w:pPr>
      <w:r>
        <w:t xml:space="preserve">Failure states exist where needed</w:t>
      </w:r>
    </w:p>
    <w:p>
      <w:pPr>
        <w:pStyle w:val="Compact"/>
        <w:numPr>
          <w:ilvl w:val="0"/>
          <w:numId w:val="1055"/>
        </w:numPr>
      </w:pPr>
      <w:r>
        <w:t xml:space="preserve">Documentation is updated if architecture changed</w:t>
      </w:r>
    </w:p>
    <w:p>
      <w:pPr>
        <w:pStyle w:val="Compact"/>
        <w:numPr>
          <w:ilvl w:val="0"/>
          <w:numId w:val="1056"/>
        </w:numPr>
      </w:pPr>
      <w:r>
        <w:t xml:space="preserve">No secrets are exposed</w:t>
      </w:r>
    </w:p>
    <w:p>
      <w:pPr>
        <w:pStyle w:val="Compact"/>
        <w:numPr>
          <w:ilvl w:val="0"/>
          <w:numId w:val="1057"/>
        </w:numPr>
      </w:pPr>
      <w:r>
        <w:t xml:space="preserve">No unnecessary refactoring was introduced</w:t>
      </w:r>
    </w:p>
    <w:p>
      <w:r>
        <w:pict>
          <v:rect style="width:0;height:1.5pt" o:hralign="center" o:hrstd="t" o:hr="t"/>
        </w:pict>
      </w:r>
    </w:p>
    <w:bookmarkEnd w:id="55"/>
    <w:bookmarkStart w:id="56" w:name="absolute-prohibitions"/>
    <w:p>
      <w:pPr>
        <w:pStyle w:val="Heading1"/>
      </w:pPr>
      <w:r>
        <w:t xml:space="preserve">32. Absolute Prohibitions</w:t>
      </w:r>
    </w:p>
    <w:p>
      <w:pPr>
        <w:pStyle w:val="FirstParagraph"/>
      </w:pPr>
      <w:r>
        <w:t xml:space="preserve">AI agents and developers must</w:t>
      </w:r>
      <w:r>
        <w:t xml:space="preserve"> </w:t>
      </w:r>
      <w:r>
        <w:rPr>
          <w:b/>
          <w:bCs/>
        </w:rPr>
        <w:t xml:space="preserve">never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t xml:space="preserve">Disable RLS to make a feature work.</w:t>
      </w:r>
    </w:p>
    <w:p>
      <w:pPr>
        <w:pStyle w:val="Compact"/>
        <w:numPr>
          <w:ilvl w:val="0"/>
          <w:numId w:val="1058"/>
        </w:numPr>
      </w:pPr>
      <w:r>
        <w:t xml:space="preserve">Expose Supabase service-role credentials.</w:t>
      </w:r>
    </w:p>
    <w:p>
      <w:pPr>
        <w:pStyle w:val="Compact"/>
        <w:numPr>
          <w:ilvl w:val="0"/>
          <w:numId w:val="1058"/>
        </w:numPr>
      </w:pPr>
      <w:r>
        <w:t xml:space="preserve">Trust client-provided tenant identity for authorization.</w:t>
      </w:r>
    </w:p>
    <w:p>
      <w:pPr>
        <w:pStyle w:val="Compact"/>
        <w:numPr>
          <w:ilvl w:val="0"/>
          <w:numId w:val="1058"/>
        </w:numPr>
      </w:pPr>
      <w:r>
        <w:t xml:space="preserve">Put provider secrets in frontend code.</w:t>
      </w:r>
    </w:p>
    <w:p>
      <w:pPr>
        <w:pStyle w:val="Compact"/>
        <w:numPr>
          <w:ilvl w:val="0"/>
          <w:numId w:val="1058"/>
        </w:numPr>
      </w:pPr>
      <w:r>
        <w:t xml:space="preserve">Hardcode WhatsApp assumptions into generic Communication architecture.</w:t>
      </w:r>
    </w:p>
    <w:p>
      <w:pPr>
        <w:pStyle w:val="Compact"/>
        <w:numPr>
          <w:ilvl w:val="0"/>
          <w:numId w:val="1058"/>
        </w:numPr>
      </w:pPr>
      <w:r>
        <w:t xml:space="preserve">Create duplicate abstractions without checking existing ones.</w:t>
      </w:r>
    </w:p>
    <w:p>
      <w:pPr>
        <w:pStyle w:val="Compact"/>
        <w:numPr>
          <w:ilvl w:val="0"/>
          <w:numId w:val="1058"/>
        </w:numPr>
      </w:pPr>
      <w:r>
        <w:t xml:space="preserve">Bypass service/provider/repository layers without a documented reason.</w:t>
      </w:r>
    </w:p>
    <w:p>
      <w:pPr>
        <w:pStyle w:val="Compact"/>
        <w:numPr>
          <w:ilvl w:val="0"/>
          <w:numId w:val="1058"/>
        </w:numPr>
      </w:pPr>
      <w:r>
        <w:t xml:space="preserve">Rewrite unrelated working code.</w:t>
      </w:r>
    </w:p>
    <w:p>
      <w:pPr>
        <w:pStyle w:val="Compact"/>
        <w:numPr>
          <w:ilvl w:val="0"/>
          <w:numId w:val="1058"/>
        </w:numPr>
      </w:pPr>
      <w:r>
        <w:t xml:space="preserve">Introduce a new framework or major dependency without approval.</w:t>
      </w:r>
    </w:p>
    <w:p>
      <w:pPr>
        <w:pStyle w:val="Compact"/>
        <w:numPr>
          <w:ilvl w:val="0"/>
          <w:numId w:val="1058"/>
        </w:numPr>
      </w:pPr>
      <w:r>
        <w:t xml:space="preserve">Delete existing functionality merely because it is not currently being used.</w:t>
      </w:r>
    </w:p>
    <w:p>
      <w:pPr>
        <w:pStyle w:val="Compact"/>
        <w:numPr>
          <w:ilvl w:val="0"/>
          <w:numId w:val="1058"/>
        </w:numPr>
      </w:pPr>
      <w:r>
        <w:t xml:space="preserve">Silently change database contracts.</w:t>
      </w:r>
    </w:p>
    <w:p>
      <w:pPr>
        <w:pStyle w:val="Compact"/>
        <w:numPr>
          <w:ilvl w:val="0"/>
          <w:numId w:val="1058"/>
        </w:numPr>
      </w:pPr>
      <w:r>
        <w:t xml:space="preserve">Ignore provider failures.</w:t>
      </w:r>
    </w:p>
    <w:p>
      <w:pPr>
        <w:pStyle w:val="Compact"/>
        <w:numPr>
          <w:ilvl w:val="0"/>
          <w:numId w:val="1058"/>
        </w:numPr>
      </w:pPr>
      <w:r>
        <w:t xml:space="preserve">Assume external API calls always succeed.</w:t>
      </w:r>
    </w:p>
    <w:p>
      <w:pPr>
        <w:pStyle w:val="Compact"/>
        <w:numPr>
          <w:ilvl w:val="0"/>
          <w:numId w:val="1058"/>
        </w:numPr>
      </w:pPr>
      <w:r>
        <w:t xml:space="preserve">Store sensitive credentials in source control.</w:t>
      </w:r>
    </w:p>
    <w:p>
      <w:pPr>
        <w:pStyle w:val="Compact"/>
        <w:numPr>
          <w:ilvl w:val="0"/>
          <w:numId w:val="1058"/>
        </w:numPr>
      </w:pPr>
      <w:r>
        <w:t xml:space="preserve">Treat AI-generated code as automatically correct.</w:t>
      </w:r>
    </w:p>
    <w:p>
      <w:r>
        <w:pict>
          <v:rect style="width:0;height:1.5pt" o:hralign="center" o:hrstd="t" o:hr="t"/>
        </w:pict>
      </w:r>
    </w:p>
    <w:bookmarkEnd w:id="56"/>
    <w:bookmarkStart w:id="57" w:name="preferred-engineering-philosophy"/>
    <w:p>
      <w:pPr>
        <w:pStyle w:val="Heading1"/>
      </w:pPr>
      <w:r>
        <w:t xml:space="preserve">33. Preferred Engineering Philosophy</w:t>
      </w:r>
    </w:p>
    <w:p>
      <w:pPr>
        <w:pStyle w:val="FirstParagraph"/>
      </w:pPr>
      <w:r>
        <w:t xml:space="preserve">EvolvNex should be built as a</w:t>
      </w:r>
      <w:r>
        <w:t xml:space="preserve"> </w:t>
      </w:r>
      <w:r>
        <w:rPr>
          <w:b/>
          <w:bCs/>
        </w:rPr>
        <w:t xml:space="preserve">long-lived SaaS platform</w:t>
      </w:r>
      <w:r>
        <w:t xml:space="preserve">, not a collection of quick features.</w:t>
      </w:r>
    </w:p>
    <w:p>
      <w:pPr>
        <w:pStyle w:val="BodyText"/>
      </w:pPr>
      <w:r>
        <w:t xml:space="preserve">Prefer:</w:t>
      </w:r>
    </w:p>
    <w:p>
      <w:pPr>
        <w:pStyle w:val="BodyText"/>
      </w:pPr>
      <w:r>
        <w:rPr>
          <w:b/>
          <w:bCs/>
        </w:rPr>
        <w:t xml:space="preserve">Simple &gt; Clever</w:t>
      </w:r>
    </w:p>
    <w:p>
      <w:pPr>
        <w:pStyle w:val="BodyText"/>
      </w:pPr>
      <w:r>
        <w:rPr>
          <w:b/>
          <w:bCs/>
        </w:rPr>
        <w:t xml:space="preserve">Reusable &gt; Duplicated</w:t>
      </w:r>
    </w:p>
    <w:p>
      <w:pPr>
        <w:pStyle w:val="BodyText"/>
      </w:pPr>
      <w:r>
        <w:rPr>
          <w:b/>
          <w:bCs/>
        </w:rPr>
        <w:t xml:space="preserve">Secure &gt; Convenient</w:t>
      </w:r>
    </w:p>
    <w:p>
      <w:pPr>
        <w:pStyle w:val="BodyText"/>
      </w:pPr>
      <w:r>
        <w:rPr>
          <w:b/>
          <w:bCs/>
        </w:rPr>
        <w:t xml:space="preserve">Explicit &gt; Magic</w:t>
      </w:r>
    </w:p>
    <w:p>
      <w:pPr>
        <w:pStyle w:val="BodyText"/>
      </w:pPr>
      <w:r>
        <w:rPr>
          <w:b/>
          <w:bCs/>
        </w:rPr>
        <w:t xml:space="preserve">Provider-independent &gt; Provider-specific</w:t>
      </w:r>
    </w:p>
    <w:p>
      <w:pPr>
        <w:pStyle w:val="BodyText"/>
      </w:pPr>
      <w:r>
        <w:rPr>
          <w:b/>
          <w:bCs/>
        </w:rPr>
        <w:t xml:space="preserve">Small changes &gt; Large rewrites</w:t>
      </w:r>
    </w:p>
    <w:p>
      <w:pPr>
        <w:pStyle w:val="BodyText"/>
      </w:pPr>
      <w:r>
        <w:rPr>
          <w:b/>
          <w:bCs/>
        </w:rPr>
        <w:t xml:space="preserve">Observable &gt; Silent</w:t>
      </w:r>
    </w:p>
    <w:p>
      <w:pPr>
        <w:pStyle w:val="BodyText"/>
      </w:pPr>
      <w:r>
        <w:rPr>
          <w:b/>
          <w:bCs/>
        </w:rPr>
        <w:t xml:space="preserve">Documented &gt; Assumed</w:t>
      </w:r>
    </w:p>
    <w:p>
      <w:pPr>
        <w:pStyle w:val="BodyText"/>
      </w:pPr>
      <w:r>
        <w:rPr>
          <w:b/>
          <w:bCs/>
        </w:rPr>
        <w:t xml:space="preserve">Maintainable &gt; Fast to ship</w:t>
      </w:r>
    </w:p>
    <w:p>
      <w:r>
        <w:pict>
          <v:rect style="width:0;height:1.5pt" o:hralign="center" o:hrstd="t" o:hr="t"/>
        </w:pict>
      </w:r>
    </w:p>
    <w:bookmarkEnd w:id="57"/>
    <w:bookmarkStart w:id="58" w:name="final-agent-instruction"/>
    <w:p>
      <w:pPr>
        <w:pStyle w:val="Heading1"/>
      </w:pPr>
      <w:r>
        <w:t xml:space="preserve">34. Final Agent Instruction</w:t>
      </w:r>
    </w:p>
    <w:p>
      <w:pPr>
        <w:pStyle w:val="FirstParagraph"/>
      </w:pPr>
      <w:r>
        <w:t xml:space="preserve">Before making any meaningful change, the AI agent must think:</w:t>
      </w:r>
    </w:p>
    <w:p>
      <w:pPr>
        <w:pStyle w:val="BlockText"/>
      </w:pPr>
      <w:r>
        <w:rPr>
          <w:b/>
          <w:bCs/>
        </w:rPr>
        <w:t xml:space="preserve">“I am modifying a multi-tenant SaaS platform. I must preserve security, tenant isolation, architectural boundaries, provider independence, and existing behavior. I should understand the existing implementation before introducing anything new.”</w:t>
      </w:r>
    </w:p>
    <w:p>
      <w:pPr>
        <w:pStyle w:val="FirstParagraph"/>
      </w:pPr>
      <w:r>
        <w:t xml:space="preserve">If uncertain:</w:t>
      </w:r>
    </w:p>
    <w:p>
      <w:pPr>
        <w:pStyle w:val="Compact"/>
        <w:numPr>
          <w:ilvl w:val="0"/>
          <w:numId w:val="1059"/>
        </w:numPr>
      </w:pPr>
      <w:r>
        <w:t xml:space="preserve">Inspect the relevant architecture document.</w:t>
      </w:r>
    </w:p>
    <w:p>
      <w:pPr>
        <w:pStyle w:val="Compact"/>
        <w:numPr>
          <w:ilvl w:val="0"/>
          <w:numId w:val="1059"/>
        </w:numPr>
      </w:pPr>
      <w:r>
        <w:t xml:space="preserve">Inspect the existing code.</w:t>
      </w:r>
    </w:p>
    <w:p>
      <w:pPr>
        <w:pStyle w:val="Compact"/>
        <w:numPr>
          <w:ilvl w:val="0"/>
          <w:numId w:val="1059"/>
        </w:numPr>
      </w:pPr>
      <w:r>
        <w:t xml:space="preserve">Inspect the database/schema.</w:t>
      </w:r>
    </w:p>
    <w:p>
      <w:pPr>
        <w:pStyle w:val="Compact"/>
        <w:numPr>
          <w:ilvl w:val="0"/>
          <w:numId w:val="1059"/>
        </w:numPr>
      </w:pPr>
      <w:r>
        <w:t xml:space="preserve">Identify the architectural layer involved.</w:t>
      </w:r>
    </w:p>
    <w:p>
      <w:pPr>
        <w:pStyle w:val="Compact"/>
        <w:numPr>
          <w:ilvl w:val="0"/>
          <w:numId w:val="1059"/>
        </w:numPr>
      </w:pPr>
      <w:r>
        <w:t xml:space="preserve">Prefer the existing pattern.</w:t>
      </w:r>
    </w:p>
    <w:p>
      <w:pPr>
        <w:pStyle w:val="Compact"/>
        <w:numPr>
          <w:ilvl w:val="0"/>
          <w:numId w:val="1059"/>
        </w:numPr>
      </w:pPr>
      <w:r>
        <w:t xml:space="preserve">Ask for clarification when the change would alter a fundamental architectural decision.</w:t>
      </w:r>
    </w:p>
    <w:p>
      <w:pPr>
        <w:pStyle w:val="FirstParagraph"/>
      </w:pPr>
      <w:r>
        <w:rPr>
          <w:b/>
          <w:bCs/>
        </w:rPr>
        <w:t xml:space="preserve">Do not guess when guessing can change the architecture.</w:t>
      </w:r>
    </w:p>
    <w:p>
      <w:r>
        <w:pict>
          <v:rect style="width:0;height:1.5pt" o:hralign="center" o:hrstd="t" o:hr="t"/>
        </w:pict>
      </w:r>
    </w:p>
    <w:bookmarkEnd w:id="58"/>
    <w:bookmarkStart w:id="59" w:name="end-of-constitution"/>
    <w:p>
      <w:pPr>
        <w:pStyle w:val="Heading1"/>
      </w:pPr>
      <w:r>
        <w:t xml:space="preserve">End of Constitution</w:t>
      </w:r>
    </w:p>
    <w:p>
      <w:pPr>
        <w:pStyle w:val="FirstParagraph"/>
      </w:pPr>
      <w:r>
        <w:t xml:space="preserve">The Constitution defines the rules.</w:t>
      </w:r>
    </w:p>
    <w:p>
      <w:pPr>
        <w:pStyle w:val="BodyText"/>
      </w:pPr>
      <w:r>
        <w:t xml:space="preserve">The detailed EvolvNex architecture documents define the implementation.</w:t>
      </w:r>
    </w:p>
    <w:p>
      <w:pPr>
        <w:pStyle w:val="BodyText"/>
      </w:pPr>
      <w:r>
        <w:t xml:space="preserve">The codebase defines the current executable state.</w:t>
      </w:r>
    </w:p>
    <w:p>
      <w:pPr>
        <w:pStyle w:val="BodyText"/>
      </w:pPr>
      <w:r>
        <w:t xml:space="preserve">All three should remain aligned.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