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Two Column Arxiv Template</w:t>
      </w:r>
    </w:p>
    <w:p>
      <w:pPr>
        <w:pStyle w:val="FirstParagraph"/>
      </w:pPr>
      <w:r>
        <w:rPr>
          <w:b/>
          <w:bCs/>
        </w:rPr>
        <w:t xml:space="preserve">Brenhin Keller</w:t>
      </w:r>
      <w:r>
        <w:t xml:space="preserve"> </w:t>
      </w:r>
      <w:r>
        <w:t xml:space="preserve">—</w:t>
      </w:r>
      <w:r>
        <w:t xml:space="preserve"> </w:t>
      </w:r>
      <w:r>
        <w:rPr>
          <w:i/>
          <w:iCs/>
        </w:rPr>
        <w:t xml:space="preserve">Dartmouth College</w:t>
      </w:r>
      <w:r>
        <w:t xml:space="preserve"> </w:t>
      </w:r>
      <w:r>
        <w:t xml:space="preserve">—</w:t>
      </w:r>
      <w:r>
        <w:t xml:space="preserve"> </w:t>
      </w:r>
      <w:hyperlink r:id="rId9">
        <w:r>
          <w:rPr>
            <w:rStyle w:val="Hyperlink"/>
          </w:rPr>
          <w:t xml:space="preserve">bkeller@university.edu</w:t>
        </w:r>
      </w:hyperlink>
      <w:r>
        <w:t xml:space="preserve"> </w:t>
      </w:r>
      <w:r>
        <w:t xml:space="preserve">— ORCID</w:t>
      </w:r>
      <w:r>
        <w:t xml:space="preserve"> </w:t>
      </w:r>
      <w:hyperlink r:id="rId10">
        <w:r>
          <w:rPr>
            <w:rStyle w:val="Hyperlink"/>
          </w:rPr>
          <w:t xml:space="preserve">0000-0000-0000-0001</w:t>
        </w:r>
      </w:hyperlink>
    </w:p>
    <w:p>
      <w:pPr>
        <w:pStyle w:val="BodyText"/>
      </w:pPr>
      <w:r>
        <w:rPr>
          <w:b/>
          <w:bCs/>
        </w:rPr>
        <w:t xml:space="preserve">Abstract.</w:t>
      </w:r>
      <w:r>
        <w:t xml:space="preserve"> </w:t>
      </w:r>
      <w:r>
        <w:t xml:space="preserve">Morbi eu neque et enim euismod cursus sit amet sit amet elit: Fusce eget neque placerat, vehicula dui id, placerat velit. Proin pellentesque fermentum sollicitudin. Etiam egestas sed dolor rutrum faucibus. Nunc ac viverra justo. Vestibulum eget erat pretium sem blandit placerat ullamcorper nec velit. Aliquam orci enim, luctus tempor euismod a, aliquam in ex. Morbi ultrices sapien quis neque sagittis condimentum.</w:t>
      </w:r>
    </w:p>
    <w:p>
      <w:pPr>
        <w:pStyle w:val="BodyText"/>
      </w:pPr>
      <w:r>
        <w:rPr>
          <w:b/>
          <w:bCs/>
        </w:rPr>
        <w:t xml:space="preserve">Keywords:</w:t>
      </w:r>
      <w:r>
        <w:t xml:space="preserve"> </w:t>
      </w:r>
      <w:r>
        <w:t xml:space="preserve">keyword1, keyword2, keyword3</w:t>
      </w:r>
    </w:p>
    <w:bookmarkStart w:id="11" w:name="introduction"/>
    <w:p>
      <w:pPr>
        <w:pStyle w:val="Heading1"/>
      </w:pPr>
      <w:r>
        <w:t xml:space="preserve">Introduction</w:t>
      </w:r>
    </w:p>
    <w:p>
      <w:pPr>
        <w:pStyle w:val="FirstParagraph"/>
      </w:pPr>
      <w:r>
        <w:t xml:space="preserve">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w:t>
      </w:r>
    </w:p>
    <w:p>
      <w:pPr>
        <w:pStyle w:val="BodyText"/>
      </w:pPr>
      <w:r>
        <w:t xml:space="preserve">Cum sociis natoque penatibus et magnis dis parturient montes, nascetur ridiculus mus. Aliquam tincidunt urna. Nulla ullamcorper vestibulum turpis. Pellentesque cursus luctus mauris.</w:t>
      </w:r>
    </w:p>
    <w:bookmarkEnd w:id="11"/>
    <w:bookmarkStart w:id="14" w:name="sec:headings"/>
    <w:p>
      <w:pPr>
        <w:pStyle w:val="Heading1"/>
      </w:pPr>
      <w:r>
        <w:t xml:space="preserve">Headings: first level</w:t>
      </w:r>
    </w:p>
    <w:p>
      <w:pPr>
        <w:pStyle w:val="FirstParagraph"/>
      </w:pPr>
      <w:r>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See Section [sec:headings].</w:t>
      </w:r>
    </w:p>
    <w:bookmarkStart w:id="13" w:name="headings-second-level"/>
    <w:p>
      <w:pPr>
        <w:pStyle w:val="Heading2"/>
      </w:pPr>
      <w:r>
        <w:t xml:space="preserve">Headings: second level</w:t>
      </w:r>
    </w:p>
    <w:p>
      <w:pPr>
        <w:pStyle w:val="FirstParagraph"/>
      </w:pPr>
      <w:r>
        <w:t xml:space="preserve">Vivamus vehicula leo a justo. Quisque nec augue. Morbi mauris wisi, aliquet vitae, dignissim eget, sollicitudin molestie, ligula. In dictum, magna sit amet aliquet pulvinar, lorem dolor euismod metus, vel rutrum tellus quam vitae lacus. Nullam eu erat. Sed sit amet justo cursus mauris pretium accumsan.</w:t>
      </w:r>
    </w:p>
    <w:p>
      <w:pPr>
        <w:pStyle w:val="BodyText"/>
      </w:pPr>
      <m:oMathPara>
        <m:oMathParaPr>
          <m:jc m:val="center"/>
        </m:oMathParaPr>
        <m:oMath>
          <m:sSub>
            <m:e>
              <m:r>
                <m:t>ξ</m:t>
              </m:r>
            </m:e>
            <m:sub>
              <m:r>
                <m:t>i</m:t>
              </m:r>
              <m:r>
                <m:t>j</m:t>
              </m:r>
            </m:sub>
          </m:sSub>
          <m:r>
            <m:rPr>
              <m:sty m:val="p"/>
            </m:rPr>
            <m:t>(</m:t>
          </m:r>
          <m:r>
            <m:t>t</m:t>
          </m:r>
          <m:r>
            <m:rPr>
              <m:sty m:val="p"/>
            </m:rPr>
            <m:t>)</m:t>
          </m:r>
          <m:r>
            <m:rPr>
              <m:sty m:val="p"/>
            </m:rPr>
            <m:t>=</m:t>
          </m:r>
          <m:f>
            <m:fPr>
              <m:type m:val="bar"/>
            </m:fPr>
            <m:num>
              <m:sSub>
                <m:e>
                  <m:r>
                    <m:t>α</m:t>
                  </m:r>
                </m:e>
                <m:sub>
                  <m:r>
                    <m:t>i</m:t>
                  </m:r>
                </m:sub>
              </m:sSub>
              <m:r>
                <m:rPr>
                  <m:sty m:val="p"/>
                </m:rPr>
                <m:t>(</m:t>
              </m:r>
              <m:r>
                <m:t>t</m:t>
              </m:r>
              <m:r>
                <m:rPr>
                  <m:sty m:val="p"/>
                </m:rPr>
                <m:t>)</m:t>
              </m:r>
              <m:sSubSup>
                <m:e>
                  <m:r>
                    <m:t>a</m:t>
                  </m:r>
                </m:e>
                <m:sub>
                  <m:r>
                    <m:t>i</m:t>
                  </m:r>
                  <m:r>
                    <m:t>j</m:t>
                  </m:r>
                </m:sub>
                <m:sup>
                  <m:sSub>
                    <m:e>
                      <m:r>
                        <m:t>w</m:t>
                      </m:r>
                    </m:e>
                    <m:sub>
                      <m:r>
                        <m:t>t</m:t>
                      </m:r>
                    </m:sub>
                  </m:sSub>
                </m:sup>
              </m:sSubSup>
              <m:sSub>
                <m:e>
                  <m:r>
                    <m:t>β</m:t>
                  </m:r>
                </m:e>
                <m:sub>
                  <m:r>
                    <m:t>j</m:t>
                  </m:r>
                </m:sub>
              </m:sSub>
              <m:r>
                <m:rPr>
                  <m:sty m:val="p"/>
                </m:rPr>
                <m:t>(</m:t>
              </m:r>
              <m:r>
                <m:t>t</m:t>
              </m:r>
              <m:r>
                <m:rPr>
                  <m:sty m:val="p"/>
                </m:rPr>
                <m:t>+</m:t>
              </m:r>
              <m:r>
                <m:t>1</m:t>
              </m:r>
              <m:r>
                <m:rPr>
                  <m:sty m:val="p"/>
                </m:rPr>
                <m:t>)</m:t>
              </m:r>
              <m:sSubSup>
                <m:e>
                  <m:r>
                    <m:t>b</m:t>
                  </m:r>
                </m:e>
                <m:sub>
                  <m:r>
                    <m:t>j</m:t>
                  </m:r>
                </m:sub>
                <m:sup>
                  <m:sSub>
                    <m:e>
                      <m:r>
                        <m:t>v</m:t>
                      </m:r>
                    </m:e>
                    <m:sub>
                      <m:r>
                        <m:t>t</m:t>
                      </m:r>
                      <m:r>
                        <m:rPr>
                          <m:sty m:val="p"/>
                        </m:rPr>
                        <m:t>+</m:t>
                      </m:r>
                      <m:r>
                        <m:t>1</m:t>
                      </m:r>
                    </m:sub>
                  </m:sSub>
                </m:sup>
              </m:sSubSup>
              <m:r>
                <m:rPr>
                  <m:sty m:val="p"/>
                </m:rPr>
                <m:t>(</m:t>
              </m:r>
              <m:sSub>
                <m:e>
                  <m:r>
                    <m:t>y</m:t>
                  </m:r>
                </m:e>
                <m:sub>
                  <m:r>
                    <m:t>t</m:t>
                  </m:r>
                  <m:r>
                    <m:rPr>
                      <m:sty m:val="p"/>
                    </m:rPr>
                    <m:t>+</m:t>
                  </m:r>
                  <m:r>
                    <m:t>1</m:t>
                  </m:r>
                </m:sub>
              </m:sSub>
              <m:r>
                <m:rPr>
                  <m:sty m:val="p"/>
                </m:rPr>
                <m:t>)</m:t>
              </m:r>
            </m:num>
            <m:den>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α</m:t>
                          </m:r>
                        </m:e>
                        <m:sub>
                          <m:r>
                            <m:t>i</m:t>
                          </m:r>
                        </m:sub>
                      </m:sSub>
                    </m:e>
                  </m:nary>
                </m:e>
              </m:nary>
              <m:r>
                <m:rPr>
                  <m:sty m:val="p"/>
                </m:rPr>
                <m:t>(</m:t>
              </m:r>
              <m:r>
                <m:t>t</m:t>
              </m:r>
              <m:r>
                <m:rPr>
                  <m:sty m:val="p"/>
                </m:rPr>
                <m:t>)</m:t>
              </m:r>
              <m:sSubSup>
                <m:e>
                  <m:r>
                    <m:t>a</m:t>
                  </m:r>
                </m:e>
                <m:sub>
                  <m:r>
                    <m:t>i</m:t>
                  </m:r>
                  <m:r>
                    <m:t>j</m:t>
                  </m:r>
                </m:sub>
                <m:sup>
                  <m:sSub>
                    <m:e>
                      <m:r>
                        <m:t>w</m:t>
                      </m:r>
                    </m:e>
                    <m:sub>
                      <m:r>
                        <m:t>t</m:t>
                      </m:r>
                    </m:sub>
                  </m:sSub>
                </m:sup>
              </m:sSubSup>
              <m:sSub>
                <m:e>
                  <m:r>
                    <m:t>β</m:t>
                  </m:r>
                </m:e>
                <m:sub>
                  <m:r>
                    <m:t>j</m:t>
                  </m:r>
                </m:sub>
              </m:sSub>
              <m:r>
                <m:rPr>
                  <m:sty m:val="p"/>
                </m:rPr>
                <m:t>(</m:t>
              </m:r>
              <m:r>
                <m:t>t</m:t>
              </m:r>
              <m:r>
                <m:rPr>
                  <m:sty m:val="p"/>
                </m:rPr>
                <m:t>+</m:t>
              </m:r>
              <m:r>
                <m:t>1</m:t>
              </m:r>
              <m:r>
                <m:rPr>
                  <m:sty m:val="p"/>
                </m:rPr>
                <m:t>)</m:t>
              </m:r>
              <m:sSubSup>
                <m:e>
                  <m:r>
                    <m:t>b</m:t>
                  </m:r>
                </m:e>
                <m:sub>
                  <m:r>
                    <m:t>j</m:t>
                  </m:r>
                </m:sub>
                <m:sup>
                  <m:sSub>
                    <m:e>
                      <m:r>
                        <m:t>v</m:t>
                      </m:r>
                    </m:e>
                    <m:sub>
                      <m:r>
                        <m:t>t</m:t>
                      </m:r>
                      <m:r>
                        <m:rPr>
                          <m:sty m:val="p"/>
                        </m:rPr>
                        <m:t>+</m:t>
                      </m:r>
                      <m:r>
                        <m:t>1</m:t>
                      </m:r>
                    </m:sub>
                  </m:sSub>
                </m:sup>
              </m:sSubSup>
              <m:r>
                <m:rPr>
                  <m:sty m:val="p"/>
                </m:rPr>
                <m:t>(</m:t>
              </m:r>
              <m:sSub>
                <m:e>
                  <m:r>
                    <m:t>y</m:t>
                  </m:r>
                </m:e>
                <m:sub>
                  <m:r>
                    <m:t>t</m:t>
                  </m:r>
                  <m:r>
                    <m:rPr>
                      <m:sty m:val="p"/>
                    </m:rPr>
                    <m:t>+</m:t>
                  </m:r>
                  <m:r>
                    <m:t>1</m:t>
                  </m:r>
                </m:sub>
              </m:sSub>
              <m:r>
                <m:rPr>
                  <m:sty m:val="p"/>
                </m:rPr>
                <m:t>)</m:t>
              </m:r>
            </m:den>
          </m:f>
        </m:oMath>
      </m:oMathPara>
    </w:p>
    <w:bookmarkStart w:id="12" w:name="headings-third-level"/>
    <w:p>
      <w:pPr>
        <w:pStyle w:val="Heading3"/>
      </w:pPr>
      <w:r>
        <w:t xml:space="preserve">Headings: third level</w:t>
      </w:r>
    </w:p>
    <w:p>
      <w:pPr>
        <w:pStyle w:val="FirstParagraph"/>
      </w:pPr>
      <w:r>
        <w:t xml:space="preserve">Curabitur tellus magna, porttitor a, commodo a, commodo in, tortor. Donec interdum. Praesent scelerisque. Maecenas posuere sodales odio. Vivamus metus lacus, varius quis, imperdiet quis, rhoncus a, turpis. Etiam ligula arcu, elementum a, venenatis quis, sollicitudin sed, metus.</w:t>
      </w:r>
    </w:p>
    <w:p>
      <w:pPr>
        <w:pStyle w:val="BodyText"/>
      </w:pPr>
      <w:r>
        <w:rPr>
          <w:b/>
          <w:bCs/>
        </w:rPr>
        <w:t xml:space="preserve">Paragraph</w:t>
      </w:r>
      <w:r>
        <w:t xml:space="preserve"> </w:t>
      </w:r>
      <w:r>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w:t>
      </w:r>
    </w:p>
    <w:bookmarkEnd w:id="12"/>
    <w:bookmarkEnd w:id="13"/>
    <w:bookmarkEnd w:id="14"/>
    <w:bookmarkStart w:id="25" w:name="sec:others"/>
    <w:p>
      <w:pPr>
        <w:pStyle w:val="Heading1"/>
      </w:pPr>
      <w:r>
        <w:t xml:space="preserve">Examples of citations, figures, tables, references</w:t>
      </w:r>
    </w:p>
    <w:p>
      <w:pPr>
        <w:pStyle w:val="FirstParagraph"/>
      </w:pPr>
      <w:r>
        <w:t xml:space="preserve">Pellentesque habitant morbi tristique senectus et netus et malesuada fames ac turpis egestas. Donec odio elit, dictum in, hendrerit sit amet, egestas sed, leo. Praesent feugiat sapien aliquet odio. Integer vitae justo. Aliquam vestibulum fringilla lorem. Sed neque lectus, consectetuer at, consectetuer sed, eleifend ac, lectus.</w:t>
      </w:r>
    </w:p>
    <w:p>
      <w:pPr>
        <w:pStyle w:val="BodyText"/>
      </w:pPr>
      <w:r>
        <w:t xml:space="preserve">(Kour and Saabne 2014b, 2014a)</w:t>
      </w:r>
      <w:r>
        <w:t xml:space="preserve"> </w:t>
      </w:r>
      <w:r>
        <w:t xml:space="preserve">and see</w:t>
      </w:r>
      <w:r>
        <w:t xml:space="preserve"> </w:t>
      </w:r>
      <w:r>
        <w:t xml:space="preserve">(Hadash et al. 2018)</w:t>
      </w:r>
      <w:r>
        <w:t xml:space="preserve">.</w:t>
      </w:r>
    </w:p>
    <w:p>
      <w:pPr>
        <w:pStyle w:val="BodyText"/>
      </w:pPr>
      <w:r>
        <w:t xml:space="preserve">The documentation for</w:t>
      </w:r>
      <w:r>
        <w:t xml:space="preserve"> </w:t>
      </w:r>
      <w:r>
        <w:rPr>
          <w:rStyle w:val="VerbatimChar"/>
        </w:rPr>
        <w:t xml:space="preserve">natbib</w:t>
      </w:r>
      <w:r>
        <w:t xml:space="preserve"> </w:t>
      </w:r>
      <w:r>
        <w:t xml:space="preserve">may be found at</w:t>
      </w:r>
      <w:r>
        <w:t xml:space="preserve"> </w:t>
      </w:r>
      <w:hyperlink r:id="rId15">
        <w:r>
          <w:rPr>
            <w:rStyle w:val="Hyperlink"/>
          </w:rPr>
          <w:t xml:space="preserve">http://mirrors.ctan.org/macros/latex/contrib/natbib/natnotes.pdf</w:t>
        </w:r>
      </w:hyperlink>
      <w:r>
        <w:t xml:space="preserve">.</w:t>
      </w:r>
    </w:p>
    <w:bookmarkStart w:id="19" w:name="figures"/>
    <w:p>
      <w:pPr>
        <w:pStyle w:val="Heading2"/>
      </w:pPr>
      <w:r>
        <w:t xml:space="preserve">Figures</w:t>
      </w:r>
    </w:p>
    <w:p>
      <w:pPr>
        <w:pStyle w:val="FirstParagraph"/>
      </w:pPr>
      <w:r>
        <w:t xml:space="preserve">Sed lectus. Praesent pretium, magna in eleifend egestas, pede pede pretium lorem, quis consectetuer tortor sapien facilisis magna. Mauris quis magna varius nulla scelerisque imperdiet. Aliquam non quam. Aliquam porttitor quam a lacus.</w:t>
      </w:r>
    </w:p>
    <w:p>
      <w:pPr>
        <w:pStyle w:val="BodyText"/>
      </w:pPr>
      <w:r>
        <w:t xml:space="preserve">See Figure [fig:fig1].</w:t>
      </w:r>
    </w:p>
    <w:p>
      <w:pPr>
        <w:pStyle w:val="BodyText"/>
      </w:pPr>
      <w:r>
        <w:t xml:space="preserve">Praesent in mauris eu tortor porttitor accumsan. Mauris suscipit, ligula sit amet pharetra semper, nibh ante cursus purus, vel sagittis velit mauris vel metus. Aenean fermentum risus id tortor. Integer euismod lacus luctus magna.</w:t>
      </w:r>
    </w:p>
    <w:p>
      <w:pPr>
        <w:pStyle w:val="CaptionedFigure"/>
      </w:pPr>
      <w:r>
        <w:drawing>
          <wp:inline>
            <wp:extent cx="1439999" cy="1439999"/>
            <wp:effectExtent b="0" l="0" r="0" t="0"/>
            <wp:docPr descr="Sample figure caption." title="" id="17" name="Picture"/>
            <a:graphic>
              <a:graphicData uri="http://schemas.openxmlformats.org/drawingml/2006/picture">
                <pic:pic>
                  <pic:nvPicPr>
                    <pic:cNvPr descr="placeholder.png" id="18" name="Picture"/>
                    <pic:cNvPicPr>
                      <a:picLocks noChangeArrowheads="1" noChangeAspect="1"/>
                    </pic:cNvPicPr>
                  </pic:nvPicPr>
                  <pic:blipFill>
                    <a:blip r:embed="rId16"/>
                    <a:stretch>
                      <a:fillRect/>
                    </a:stretch>
                  </pic:blipFill>
                  <pic:spPr bwMode="auto">
                    <a:xfrm>
                      <a:off x="0" y="0"/>
                      <a:ext cx="1439999" cy="1439999"/>
                    </a:xfrm>
                    <a:prstGeom prst="rect">
                      <a:avLst/>
                    </a:prstGeom>
                    <a:noFill/>
                    <a:ln w="9525">
                      <a:noFill/>
                      <a:headEnd/>
                      <a:tailEnd/>
                    </a:ln>
                  </pic:spPr>
                </pic:pic>
              </a:graphicData>
            </a:graphic>
          </wp:inline>
        </w:drawing>
      </w:r>
    </w:p>
    <w:p>
      <w:pPr>
        <w:pStyle w:val="ImageCaption"/>
      </w:pPr>
      <w:r>
        <w:t xml:space="preserve">Sample figure caption.</w:t>
      </w:r>
    </w:p>
    <w:bookmarkEnd w:id="19"/>
    <w:bookmarkStart w:id="24" w:name="lists"/>
    <w:p>
      <w:pPr>
        <w:pStyle w:val="Heading2"/>
      </w:pPr>
      <w:r>
        <w:t xml:space="preserve">Lists</w:t>
      </w:r>
    </w:p>
    <w:p>
      <w:pPr>
        <w:pStyle w:val="Compact"/>
        <w:numPr>
          <w:ilvl w:val="0"/>
          <w:numId w:val="1001"/>
        </w:numPr>
      </w:pPr>
      <w:r>
        <w:t xml:space="preserve">Lorem ipsum dolor sit amet</w:t>
      </w:r>
    </w:p>
    <w:p>
      <w:pPr>
        <w:pStyle w:val="Compact"/>
        <w:numPr>
          <w:ilvl w:val="0"/>
          <w:numId w:val="1001"/>
        </w:numPr>
      </w:pPr>
      <w:r>
        <w:t xml:space="preserve">consectetur adipiscing elit</w:t>
      </w:r>
    </w:p>
    <w:p>
      <w:pPr>
        <w:pStyle w:val="Compact"/>
        <w:numPr>
          <w:ilvl w:val="0"/>
          <w:numId w:val="1001"/>
        </w:numPr>
      </w:pPr>
      <w:r>
        <w:t xml:space="preserve">Aliquam dignissim blandit est, in dictum tortor gravida eget.</w:t>
      </w:r>
    </w:p>
    <w:bookmarkStart w:id="23" w:name="refs"/>
    <w:bookmarkStart w:id="20" w:name="ref-hadash2018estimate"/>
    <w:p>
      <w:pPr>
        <w:pStyle w:val="Bibliography"/>
      </w:pPr>
      <w:r>
        <w:t xml:space="preserve">Hadash, Guy, Einat Kermany, Boaz Carmeli, Ofer Lavi, George Kour, and Alon Jacovi. 2018.</w:t>
      </w:r>
      <w:r>
        <w:t xml:space="preserve"> </w:t>
      </w:r>
      <w:r>
        <w:t xml:space="preserve">“Estimate and Replace: A Novel Approach to Integrating Deep Neural Networks with Existing Applications.”</w:t>
      </w:r>
      <w:r>
        <w:t xml:space="preserve"> </w:t>
      </w:r>
      <w:r>
        <w:rPr>
          <w:i/>
          <w:iCs/>
        </w:rPr>
        <w:t xml:space="preserve">arXiv Preprint arXiv:1804.09028</w:t>
      </w:r>
      <w:r>
        <w:t xml:space="preserve">.</w:t>
      </w:r>
    </w:p>
    <w:bookmarkEnd w:id="20"/>
    <w:bookmarkStart w:id="21" w:name="ref-kour2014fast"/>
    <w:p>
      <w:pPr>
        <w:pStyle w:val="Bibliography"/>
      </w:pPr>
      <w:r>
        <w:t xml:space="preserve">Kour, George, and Raid Saabne. 2014a.</w:t>
      </w:r>
      <w:r>
        <w:t xml:space="preserve"> </w:t>
      </w:r>
      <w:r>
        <w:t xml:space="preserve">“Fast Classification of Handwritten on-Line Arabic Characters.”</w:t>
      </w:r>
      <w:r>
        <w:t xml:space="preserve"> </w:t>
      </w:r>
      <w:r>
        <w:rPr>
          <w:i/>
          <w:iCs/>
        </w:rPr>
        <w:t xml:space="preserve">Soft Computing and Pattern Recognition (SoCPaR), 2014 6th International Conference of</w:t>
      </w:r>
      <w:r>
        <w:t xml:space="preserve">, 312–18.</w:t>
      </w:r>
    </w:p>
    <w:bookmarkEnd w:id="21"/>
    <w:bookmarkStart w:id="22" w:name="ref-kour2014real"/>
    <w:p>
      <w:pPr>
        <w:pStyle w:val="Bibliography"/>
      </w:pPr>
      <w:r>
        <w:t xml:space="preserve">Kour, George, and Raid Saabne. 2014b.</w:t>
      </w:r>
      <w:r>
        <w:t xml:space="preserve"> </w:t>
      </w:r>
      <w:r>
        <w:t xml:space="preserve">“Real-Time Segmentation of on-Line Handwritten Arabic Script.”</w:t>
      </w:r>
      <w:r>
        <w:t xml:space="preserve"> </w:t>
      </w:r>
      <w:r>
        <w:rPr>
          <w:i/>
          <w:iCs/>
        </w:rPr>
        <w:t xml:space="preserve">Frontiers in Handwriting Recognition (ICFHR), 2014 14th International Conference on</w:t>
      </w:r>
      <w:r>
        <w:t xml:space="preserve">, 417–22.</w:t>
      </w:r>
    </w:p>
    <w:bookmarkEnd w:id="22"/>
    <w:bookmarkEnd w:id="23"/>
    <w:bookmarkEnd w:id="24"/>
    <w:bookmarkEnd w:id="25"/>
    <w:sectPr>
      <w:footnotePr>
        <w:numRestart w:val="eachSect"/>
      </w:footnotePr>
      <w:cols w:num="2"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0"/>
        <w:szCs w:val="20"/>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hyperlink" Id="rId15" Target="http://mirrors.ctan.org/macros/latex/contrib/natbib/natnotes.pdf" TargetMode="External" /><Relationship Type="http://schemas.openxmlformats.org/officeDocument/2006/relationships/hyperlink" Id="rId10" Target="https://orcid.org/0000-0000-0000-0001" TargetMode="External" /><Relationship Type="http://schemas.openxmlformats.org/officeDocument/2006/relationships/hyperlink" Id="rId9" Target="mailto:bkeller@university.edu" TargetMode="External" /></Relationships>
</file>

<file path=word/_rels/footnotes.xml.rels><?xml version="1.0" encoding="UTF-8"?><Relationships xmlns="http://schemas.openxmlformats.org/package/2006/relationships"><Relationship Type="http://schemas.openxmlformats.org/officeDocument/2006/relationships/hyperlink" Id="rId15" Target="http://mirrors.ctan.org/macros/latex/contrib/natbib/natnotes.pdf" TargetMode="External" /><Relationship Type="http://schemas.openxmlformats.org/officeDocument/2006/relationships/hyperlink" Id="rId10" Target="https://orcid.org/0000-0000-0000-0001" TargetMode="External" /><Relationship Type="http://schemas.openxmlformats.org/officeDocument/2006/relationships/hyperlink" Id="rId9" Target="mailto:bkeller@university.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Two Column Arxiv Template</dc:title>
  <dc:creator/>
  <cp:keywords/>
  <dcterms:created xsi:type="dcterms:W3CDTF">2026-05-10T08:12:38Z</dcterms:created>
  <dcterms:modified xsi:type="dcterms:W3CDTF">2026-05-10T08:12:38Z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/Users/lewis/Development/paperese/examples/arxiv-two-column/refs.bib</vt:lpwstr>
  </property>
  <property fmtid="{D5CDD505-2E9C-101B-9397-08002B2CF9AE}" pid="3" name="short_title">
    <vt:lpwstr>A Two Column Arxiv Template</vt:lpwstr>
  </property>
</Properties>
</file>