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r>
        <w:t xml:space="preserve"> </w:t>
      </w:r>
      <w:r>
        <w:t xml:space="preserve">— ORCID</w:t>
      </w:r>
      <w:r>
        <w:t xml:space="preserve"> </w:t>
      </w:r>
      <w:hyperlink r:id="rId10">
        <w:r>
          <w:rPr>
            <w:rStyle w:val="Hyperlink"/>
          </w:rPr>
          <w:t xml:space="preserve">0000-0000-0000-0001</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p>
      <w:pPr>
        <w:sectPr>
          <w:type w:val="continuous"/>
          <w:cols w:num="1"/>
        </w:sectPr>
      </w:pPr>
    </w:p>
    <w:bookmarkStart w:id="11"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1"/>
    <w:bookmarkStart w:id="14"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3"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2"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2"/>
    <w:bookmarkEnd w:id="13"/>
    <w:bookmarkEnd w:id="14"/>
    <w:bookmarkStart w:id="25"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 and Saabne 2014b, 2014a)</w:t>
      </w:r>
      <w:r>
        <w:t xml:space="preserve"> </w:t>
      </w:r>
      <w:r>
        <w:t xml:space="preserve">and see</w:t>
      </w:r>
      <w:r>
        <w:t xml:space="preserve"> </w:t>
      </w:r>
      <w:r>
        <w:t xml:space="preserve">(Hadash et al. 2018)</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5">
        <w:r>
          <w:rPr>
            <w:rStyle w:val="Hyperlink"/>
          </w:rPr>
          <w:t xml:space="preserve">http://mirrors.ctan.org/macros/latex/contrib/natbib/natnotes.pdf</w:t>
        </w:r>
      </w:hyperlink>
      <w:r>
        <w:t xml:space="preserve">.</w:t>
      </w:r>
    </w:p>
    <w:bookmarkStart w:id="19"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7" name="Picture"/>
            <a:graphic>
              <a:graphicData uri="http://schemas.openxmlformats.org/drawingml/2006/picture">
                <pic:pic>
                  <pic:nvPicPr>
                    <pic:cNvPr descr="placeholder.png" id="18" name="Picture"/>
                    <pic:cNvPicPr>
                      <a:picLocks noChangeArrowheads="1" noChangeAspect="1"/>
                    </pic:cNvPicPr>
                  </pic:nvPicPr>
                  <pic:blipFill>
                    <a:blip r:embed="rId16"/>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9"/>
    <w:bookmarkStart w:id="24"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Start w:id="23" w:name="refs"/>
    <w:bookmarkStart w:id="20" w:name="ref-hadash2018estimate"/>
    <w:p>
      <w:pPr>
        <w:pStyle w:val="Bibliography"/>
      </w:pPr>
      <w:r>
        <w:t xml:space="preserve">Hadash, Guy, Einat Kermany, Boaz Carmeli, Ofer Lavi, George Kour, and Alon Jacovi. 2018.</w:t>
      </w:r>
      <w:r>
        <w:t xml:space="preserve"> </w:t>
      </w:r>
      <w:r>
        <w:t xml:space="preserve">“Estimate and Replace: A Novel Approach to Integrating Deep Neural Networks with Existing Applications.”</w:t>
      </w:r>
      <w:r>
        <w:t xml:space="preserve"> </w:t>
      </w:r>
      <w:r>
        <w:rPr>
          <w:i/>
          <w:iCs/>
        </w:rPr>
        <w:t xml:space="preserve">arXiv Preprint arXiv:1804.09028</w:t>
      </w:r>
      <w:r>
        <w:t xml:space="preserve">.</w:t>
      </w:r>
    </w:p>
    <w:bookmarkEnd w:id="20"/>
    <w:bookmarkStart w:id="21" w:name="ref-kour2014fast"/>
    <w:p>
      <w:pPr>
        <w:pStyle w:val="Bibliography"/>
      </w:pPr>
      <w:r>
        <w:t xml:space="preserve">Kour, George, and Raid Saabne. 2014a.</w:t>
      </w:r>
      <w:r>
        <w:t xml:space="preserve"> </w:t>
      </w:r>
      <w:r>
        <w:t xml:space="preserve">“Fast Classification of Handwritten on-Line Arabic Characters.”</w:t>
      </w:r>
      <w:r>
        <w:t xml:space="preserve"> </w:t>
      </w:r>
      <w:r>
        <w:rPr>
          <w:i/>
          <w:iCs/>
        </w:rPr>
        <w:t xml:space="preserve">Soft Computing and Pattern Recognition (SoCPaR), 2014 6th International Conference of</w:t>
      </w:r>
      <w:r>
        <w:t xml:space="preserve">, 312–18.</w:t>
      </w:r>
    </w:p>
    <w:bookmarkEnd w:id="21"/>
    <w:bookmarkStart w:id="22" w:name="ref-kour2014real"/>
    <w:p>
      <w:pPr>
        <w:pStyle w:val="Bibliography"/>
      </w:pPr>
      <w:r>
        <w:t xml:space="preserve">Kour, George, and Raid Saabne. 2014b.</w:t>
      </w:r>
      <w:r>
        <w:t xml:space="preserve"> </w:t>
      </w:r>
      <w:r>
        <w:t xml:space="preserve">“Real-Time Segmentation of on-Line Handwritten Arabic Script.”</w:t>
      </w:r>
      <w:r>
        <w:t xml:space="preserve"> </w:t>
      </w:r>
      <w:r>
        <w:rPr>
          <w:i/>
          <w:iCs/>
        </w:rPr>
        <w:t xml:space="preserve">Frontiers in Handwriting Recognition (ICFHR), 2014 14th International Conference on</w:t>
      </w:r>
      <w:r>
        <w:t xml:space="preserve">, 417–22.</w:t>
      </w:r>
    </w:p>
    <w:bookmarkEnd w:id="22"/>
    <w:bookmarkEnd w:id="23"/>
    <w:bookmarkEnd w:id="24"/>
    <w:bookmarkEnd w:id="25"/>
    <w:sectPr>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2026-05-10T08:18:33Z</dcterms:created>
  <dcterms:modified xsi:type="dcterms:W3CDTF">2026-05-10T08:18:33Z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/Users/lewis/Development/paperese/examples/arxiv-two-column/refs.bib</vt:lpwstr>
  </property>
  <property fmtid="{D5CDD505-2E9C-101B-9397-08002B2CF9AE}" pid="3" name="short_title">
    <vt:lpwstr>A Two Column Arxiv Template</vt:lpwstr>
  </property>
</Properties>
</file>