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right" w:tblpY="165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53240" w:rsidRPr="00D62A1C" w14:paraId="32B887BB" w14:textId="77777777" w:rsidTr="00A53240">
        <w:trPr>
          <w:trHeight w:val="713"/>
        </w:trPr>
        <w:tc>
          <w:tcPr>
            <w:tcW w:w="5328" w:type="dxa"/>
            <w:shd w:val="clear" w:color="auto" w:fill="auto"/>
          </w:tcPr>
          <w:p w14:paraId="35DBEAE7" w14:textId="77777777" w:rsidR="00A53240" w:rsidRPr="00051F4B" w:rsidRDefault="00A53240" w:rsidP="00A53240">
            <w:pPr>
              <w:spacing w:before="120" w:after="0" w:line="240" w:lineRule="auto"/>
              <w:jc w:val="center"/>
              <w:rPr>
                <w:rFonts w:ascii="Arial" w:hAnsi="Arial" w:cs="Arial"/>
                <w:b/>
                <w:color w:val="C00000"/>
                <w:sz w:val="28"/>
                <w:szCs w:val="36"/>
              </w:rPr>
            </w:pPr>
            <w:bookmarkStart w:id="0" w:name="OLE_LINK3"/>
            <w:bookmarkStart w:id="1" w:name="OLE_LINK4"/>
            <w:r w:rsidRPr="00051F4B">
              <w:rPr>
                <w:rFonts w:ascii="Arial" w:hAnsi="Arial" w:cs="Arial"/>
                <w:b/>
                <w:color w:val="C00000"/>
                <w:sz w:val="28"/>
                <w:szCs w:val="36"/>
              </w:rPr>
              <w:t>[Entity]</w:t>
            </w:r>
          </w:p>
          <w:p w14:paraId="50CF824C" w14:textId="77777777" w:rsidR="00A53240" w:rsidRPr="00051F4B" w:rsidRDefault="00A53240" w:rsidP="00A53240">
            <w:pPr>
              <w:spacing w:after="120" w:line="240" w:lineRule="auto"/>
              <w:jc w:val="center"/>
              <w:rPr>
                <w:rFonts w:ascii="Arial" w:hAnsi="Arial" w:cs="Arial"/>
              </w:rPr>
            </w:pPr>
            <w:r w:rsidRPr="00051F4B">
              <w:rPr>
                <w:rFonts w:ascii="Arial" w:hAnsi="Arial" w:cs="Arial"/>
                <w:b/>
                <w:sz w:val="28"/>
                <w:szCs w:val="36"/>
              </w:rPr>
              <w:t>Information Technology Standard</w:t>
            </w:r>
          </w:p>
        </w:tc>
        <w:tc>
          <w:tcPr>
            <w:tcW w:w="4837" w:type="dxa"/>
            <w:vAlign w:val="center"/>
          </w:tcPr>
          <w:p w14:paraId="43C68A68" w14:textId="77777777" w:rsidR="00A53240" w:rsidRPr="00051F4B" w:rsidRDefault="00A53240" w:rsidP="00A53240">
            <w:pPr>
              <w:spacing w:after="0" w:line="240" w:lineRule="auto"/>
              <w:rPr>
                <w:rFonts w:ascii="Arial" w:hAnsi="Arial" w:cs="Arial"/>
                <w:b/>
                <w:sz w:val="24"/>
              </w:rPr>
            </w:pPr>
            <w:r w:rsidRPr="00051F4B">
              <w:rPr>
                <w:rFonts w:ascii="Arial" w:hAnsi="Arial" w:cs="Arial"/>
                <w:b/>
                <w:sz w:val="24"/>
              </w:rPr>
              <w:t xml:space="preserve">No: </w:t>
            </w:r>
          </w:p>
        </w:tc>
      </w:tr>
      <w:tr w:rsidR="00A53240" w:rsidRPr="00D62A1C" w14:paraId="7E5EAC95" w14:textId="77777777" w:rsidTr="00A53240">
        <w:trPr>
          <w:trHeight w:val="617"/>
        </w:trPr>
        <w:tc>
          <w:tcPr>
            <w:tcW w:w="5328" w:type="dxa"/>
            <w:vMerge w:val="restart"/>
            <w:shd w:val="clear" w:color="auto" w:fill="auto"/>
          </w:tcPr>
          <w:p w14:paraId="6C3BE381" w14:textId="77777777" w:rsidR="00A53240" w:rsidRPr="00051F4B" w:rsidRDefault="00A53240" w:rsidP="00A53240">
            <w:pPr>
              <w:spacing w:after="0" w:line="240" w:lineRule="auto"/>
              <w:jc w:val="center"/>
              <w:rPr>
                <w:rFonts w:ascii="Arial" w:hAnsi="Arial" w:cs="Arial"/>
                <w:sz w:val="24"/>
                <w:szCs w:val="40"/>
              </w:rPr>
            </w:pPr>
          </w:p>
          <w:p w14:paraId="5093AC25" w14:textId="77777777" w:rsidR="00A53240" w:rsidRPr="00051F4B" w:rsidRDefault="00A53240" w:rsidP="00A53240">
            <w:pPr>
              <w:spacing w:after="0" w:line="240" w:lineRule="auto"/>
              <w:jc w:val="center"/>
              <w:rPr>
                <w:rFonts w:ascii="Arial" w:hAnsi="Arial" w:cs="Arial"/>
                <w:sz w:val="24"/>
                <w:szCs w:val="40"/>
              </w:rPr>
            </w:pPr>
            <w:r w:rsidRPr="00051F4B">
              <w:rPr>
                <w:rFonts w:ascii="Arial" w:hAnsi="Arial" w:cs="Arial"/>
                <w:b/>
                <w:sz w:val="24"/>
                <w:szCs w:val="40"/>
              </w:rPr>
              <w:t>IT Standard</w:t>
            </w:r>
            <w:r w:rsidRPr="00051F4B">
              <w:rPr>
                <w:rFonts w:ascii="Arial" w:hAnsi="Arial" w:cs="Arial"/>
                <w:sz w:val="24"/>
                <w:szCs w:val="40"/>
              </w:rPr>
              <w:t>:</w:t>
            </w:r>
          </w:p>
          <w:p w14:paraId="4C3FF104" w14:textId="77777777" w:rsidR="00A53240" w:rsidRPr="00051F4B" w:rsidRDefault="00A53240" w:rsidP="00A53240">
            <w:pPr>
              <w:spacing w:after="0" w:line="240" w:lineRule="auto"/>
              <w:jc w:val="center"/>
              <w:rPr>
                <w:rFonts w:ascii="Arial" w:hAnsi="Arial" w:cs="Arial"/>
                <w:sz w:val="24"/>
                <w:szCs w:val="40"/>
              </w:rPr>
            </w:pPr>
          </w:p>
          <w:p w14:paraId="4C0DFDAB" w14:textId="77777777" w:rsidR="00A53240" w:rsidRPr="00051F4B" w:rsidRDefault="00A53240" w:rsidP="00A53240">
            <w:pPr>
              <w:spacing w:after="240" w:line="240" w:lineRule="auto"/>
              <w:jc w:val="center"/>
              <w:rPr>
                <w:rFonts w:ascii="Arial" w:hAnsi="Arial" w:cs="Arial"/>
                <w:b/>
                <w:sz w:val="52"/>
                <w:szCs w:val="52"/>
              </w:rPr>
            </w:pPr>
            <w:r w:rsidRPr="00051F4B">
              <w:rPr>
                <w:rFonts w:ascii="Arial" w:hAnsi="Arial" w:cs="Arial"/>
                <w:b/>
                <w:sz w:val="40"/>
              </w:rPr>
              <w:t>Secure Coding</w:t>
            </w:r>
          </w:p>
        </w:tc>
        <w:tc>
          <w:tcPr>
            <w:tcW w:w="4837" w:type="dxa"/>
            <w:vAlign w:val="center"/>
          </w:tcPr>
          <w:p w14:paraId="4FC97372" w14:textId="77777777" w:rsidR="00A53240" w:rsidRPr="00051F4B" w:rsidRDefault="00A53240" w:rsidP="00A53240">
            <w:pPr>
              <w:spacing w:before="120" w:after="120" w:line="240" w:lineRule="auto"/>
              <w:rPr>
                <w:rFonts w:ascii="Arial" w:hAnsi="Arial" w:cs="Arial"/>
                <w:sz w:val="24"/>
              </w:rPr>
            </w:pPr>
            <w:r w:rsidRPr="00051F4B">
              <w:rPr>
                <w:rFonts w:ascii="Arial" w:hAnsi="Arial" w:cs="Arial"/>
                <w:b/>
                <w:sz w:val="24"/>
              </w:rPr>
              <w:t xml:space="preserve">Updated: </w:t>
            </w:r>
          </w:p>
        </w:tc>
      </w:tr>
      <w:tr w:rsidR="00A53240" w:rsidRPr="00D62A1C" w14:paraId="51D50474" w14:textId="77777777" w:rsidTr="00A53240">
        <w:trPr>
          <w:trHeight w:val="1517"/>
        </w:trPr>
        <w:tc>
          <w:tcPr>
            <w:tcW w:w="5328" w:type="dxa"/>
            <w:vMerge/>
            <w:shd w:val="clear" w:color="auto" w:fill="auto"/>
          </w:tcPr>
          <w:p w14:paraId="110FDDF9" w14:textId="77777777" w:rsidR="00A53240" w:rsidRPr="00051F4B" w:rsidRDefault="00A53240" w:rsidP="00A53240">
            <w:pPr>
              <w:spacing w:after="0" w:line="240" w:lineRule="auto"/>
              <w:rPr>
                <w:rFonts w:ascii="Arial" w:hAnsi="Arial" w:cs="Arial"/>
              </w:rPr>
            </w:pPr>
          </w:p>
        </w:tc>
        <w:tc>
          <w:tcPr>
            <w:tcW w:w="4837" w:type="dxa"/>
          </w:tcPr>
          <w:p w14:paraId="28C34717" w14:textId="77777777" w:rsidR="00A53240" w:rsidRPr="00051F4B" w:rsidRDefault="00A53240" w:rsidP="00A53240">
            <w:pPr>
              <w:spacing w:before="120" w:after="0" w:line="240" w:lineRule="auto"/>
              <w:rPr>
                <w:rFonts w:ascii="Arial" w:hAnsi="Arial" w:cs="Arial"/>
                <w:sz w:val="24"/>
              </w:rPr>
            </w:pPr>
            <w:r w:rsidRPr="00051F4B">
              <w:rPr>
                <w:rFonts w:ascii="Arial" w:hAnsi="Arial" w:cs="Arial"/>
                <w:b/>
                <w:sz w:val="24"/>
              </w:rPr>
              <w:t xml:space="preserve">Issued By: </w:t>
            </w:r>
          </w:p>
          <w:p w14:paraId="668B0895" w14:textId="77777777" w:rsidR="00A53240" w:rsidRPr="00051F4B" w:rsidRDefault="00A53240" w:rsidP="00A53240">
            <w:pPr>
              <w:spacing w:after="0" w:line="240" w:lineRule="auto"/>
              <w:rPr>
                <w:rFonts w:ascii="Arial" w:hAnsi="Arial" w:cs="Arial"/>
                <w:sz w:val="24"/>
              </w:rPr>
            </w:pPr>
          </w:p>
          <w:p w14:paraId="7ED5240D" w14:textId="77777777" w:rsidR="00A53240" w:rsidRPr="00051F4B" w:rsidRDefault="00A53240" w:rsidP="00A53240">
            <w:pPr>
              <w:spacing w:after="240" w:line="240" w:lineRule="auto"/>
              <w:rPr>
                <w:rFonts w:ascii="Arial" w:hAnsi="Arial" w:cs="Arial"/>
                <w:b/>
                <w:sz w:val="24"/>
              </w:rPr>
            </w:pPr>
            <w:r w:rsidRPr="00051F4B">
              <w:rPr>
                <w:rFonts w:ascii="Arial" w:hAnsi="Arial" w:cs="Arial"/>
                <w:b/>
                <w:sz w:val="24"/>
              </w:rPr>
              <w:t xml:space="preserve">Owner: </w:t>
            </w:r>
          </w:p>
        </w:tc>
      </w:tr>
      <w:bookmarkEnd w:id="0"/>
      <w:bookmarkEnd w:id="1"/>
    </w:tbl>
    <w:p w14:paraId="20A05397" w14:textId="6CBE5183" w:rsidR="00FD26A2" w:rsidRPr="009A309F" w:rsidRDefault="00FD26A2" w:rsidP="009A309F">
      <w:pPr>
        <w:spacing w:after="0" w:line="240" w:lineRule="auto"/>
        <w:rPr>
          <w:rFonts w:ascii="Arial" w:hAnsi="Arial" w:cs="Arial"/>
        </w:rPr>
      </w:pPr>
    </w:p>
    <w:p w14:paraId="20A05398" w14:textId="77777777" w:rsidR="00FD26A2" w:rsidRPr="00051F4B" w:rsidRDefault="003A60BF" w:rsidP="00051F4B">
      <w:pPr>
        <w:pStyle w:val="Heading1"/>
        <w:rPr>
          <w:color w:val="auto"/>
        </w:rPr>
      </w:pPr>
      <w:r w:rsidRPr="00051F4B">
        <w:rPr>
          <w:color w:val="auto"/>
        </w:rPr>
        <w:t>1.0 Purpose and Benefits</w:t>
      </w:r>
    </w:p>
    <w:p w14:paraId="28529BCD" w14:textId="1DA167B0" w:rsidR="00A255D0" w:rsidRPr="00A255D0" w:rsidRDefault="00E06C7D" w:rsidP="00A255D0">
      <w:pPr>
        <w:spacing w:line="240" w:lineRule="auto"/>
        <w:ind w:right="446"/>
        <w:jc w:val="both"/>
        <w:rPr>
          <w:rFonts w:ascii="Arial" w:hAnsi="Arial" w:cs="Arial"/>
          <w:sz w:val="24"/>
          <w:szCs w:val="24"/>
        </w:rPr>
      </w:pPr>
      <w:r>
        <w:rPr>
          <w:rFonts w:ascii="Arial" w:hAnsi="Arial" w:cs="Arial"/>
          <w:sz w:val="24"/>
          <w:szCs w:val="24"/>
        </w:rPr>
        <w:t>G</w:t>
      </w:r>
      <w:r w:rsidR="00A255D0" w:rsidRPr="00A255D0">
        <w:rPr>
          <w:rFonts w:ascii="Arial" w:hAnsi="Arial" w:cs="Arial"/>
          <w:sz w:val="24"/>
          <w:szCs w:val="24"/>
        </w:rPr>
        <w:t>overnment organiz</w:t>
      </w:r>
      <w:r w:rsidR="00DF1C4A">
        <w:rPr>
          <w:rFonts w:ascii="Arial" w:hAnsi="Arial" w:cs="Arial"/>
          <w:sz w:val="24"/>
          <w:szCs w:val="24"/>
        </w:rPr>
        <w:t>ations are under constant cyber</w:t>
      </w:r>
      <w:r w:rsidR="003E2BC2">
        <w:rPr>
          <w:rFonts w:ascii="Arial" w:hAnsi="Arial" w:cs="Arial"/>
          <w:sz w:val="24"/>
          <w:szCs w:val="24"/>
        </w:rPr>
        <w:t>-</w:t>
      </w:r>
      <w:r w:rsidR="00A255D0" w:rsidRPr="00A255D0">
        <w:rPr>
          <w:rFonts w:ascii="Arial" w:hAnsi="Arial" w:cs="Arial"/>
          <w:sz w:val="24"/>
          <w:szCs w:val="24"/>
        </w:rPr>
        <w:t>attacks that attempt to exploit vulnerabilities within computer systems and thereby threaten the confidentiality, integrity</w:t>
      </w:r>
      <w:r w:rsidR="003E2BC2">
        <w:rPr>
          <w:rFonts w:ascii="Arial" w:hAnsi="Arial" w:cs="Arial"/>
          <w:sz w:val="24"/>
          <w:szCs w:val="24"/>
        </w:rPr>
        <w:t>,</w:t>
      </w:r>
      <w:r w:rsidR="00A255D0" w:rsidRPr="00A255D0">
        <w:rPr>
          <w:rFonts w:ascii="Arial" w:hAnsi="Arial" w:cs="Arial"/>
          <w:sz w:val="24"/>
          <w:szCs w:val="24"/>
        </w:rPr>
        <w:t xml:space="preserve"> and availability of information. A large number of vulnerabilities that are successfully exploited are due to software coding weaknesses and coding implementation flaws.</w:t>
      </w:r>
    </w:p>
    <w:p w14:paraId="20A05399" w14:textId="7BECBEA0" w:rsidR="00CF278D" w:rsidRPr="00D62A1C" w:rsidRDefault="00A255D0" w:rsidP="006264D2">
      <w:pPr>
        <w:spacing w:line="240" w:lineRule="auto"/>
        <w:ind w:right="446"/>
        <w:jc w:val="both"/>
        <w:rPr>
          <w:rFonts w:ascii="Arial" w:hAnsi="Arial" w:cs="Arial"/>
          <w:sz w:val="24"/>
          <w:szCs w:val="24"/>
        </w:rPr>
      </w:pPr>
      <w:r w:rsidRPr="00A255D0">
        <w:rPr>
          <w:rFonts w:ascii="Arial" w:hAnsi="Arial" w:cs="Arial"/>
          <w:sz w:val="24"/>
          <w:szCs w:val="24"/>
        </w:rPr>
        <w:t xml:space="preserve">The objective of this coding standard is to ensure that code written is resilient to high-risk threats and to avoid the occurrence of the most common coding errors which create serious vulnerabilities in software.  While it is impossible to write code that is completely impervious to all possible attacks, implementing these coding standards throughout information systems will significantly reduce the risk of disclosure, alteration or destruction of information due to software vulnerabilities. </w:t>
      </w:r>
    </w:p>
    <w:p w14:paraId="20A0539A" w14:textId="77777777" w:rsidR="00FD26A2" w:rsidRPr="00051F4B" w:rsidRDefault="00FD26A2" w:rsidP="00051F4B">
      <w:pPr>
        <w:pStyle w:val="Heading1"/>
        <w:rPr>
          <w:color w:val="auto"/>
        </w:rPr>
      </w:pPr>
      <w:r w:rsidRPr="00051F4B">
        <w:rPr>
          <w:color w:val="auto"/>
        </w:rPr>
        <w:t xml:space="preserve">2.0 </w:t>
      </w:r>
      <w:r w:rsidR="003A60BF" w:rsidRPr="00051F4B">
        <w:rPr>
          <w:color w:val="auto"/>
        </w:rPr>
        <w:t>Authority</w:t>
      </w:r>
    </w:p>
    <w:p w14:paraId="67947878" w14:textId="62BA69B9" w:rsidR="000F003B" w:rsidRPr="00051F4B" w:rsidRDefault="00B57EE8" w:rsidP="00510902">
      <w:pPr>
        <w:spacing w:line="240" w:lineRule="auto"/>
        <w:ind w:right="450"/>
        <w:jc w:val="both"/>
        <w:rPr>
          <w:rFonts w:ascii="Arial" w:hAnsi="Arial" w:cs="Arial"/>
          <w:i/>
          <w:iCs/>
          <w:color w:val="C00000"/>
          <w:sz w:val="24"/>
          <w:szCs w:val="24"/>
        </w:rPr>
      </w:pPr>
      <w:r w:rsidRPr="00051F4B">
        <w:rPr>
          <w:rFonts w:ascii="Arial" w:hAnsi="Arial" w:cs="Arial"/>
          <w:i/>
          <w:iCs/>
          <w:color w:val="C00000"/>
          <w:sz w:val="24"/>
          <w:szCs w:val="24"/>
        </w:rPr>
        <w:t>[Entity Authority]</w:t>
      </w:r>
    </w:p>
    <w:p w14:paraId="20A0539D" w14:textId="77777777" w:rsidR="00FD26A2" w:rsidRPr="00051F4B" w:rsidRDefault="00FD26A2" w:rsidP="00051F4B">
      <w:pPr>
        <w:pStyle w:val="Heading1"/>
        <w:rPr>
          <w:color w:val="auto"/>
        </w:rPr>
      </w:pPr>
      <w:r w:rsidRPr="00051F4B">
        <w:rPr>
          <w:color w:val="auto"/>
        </w:rPr>
        <w:t>3.0 Scope</w:t>
      </w:r>
    </w:p>
    <w:p w14:paraId="20A0539E" w14:textId="53187E9F" w:rsidR="00FA658F" w:rsidRPr="00051F4B" w:rsidRDefault="00B57EE8" w:rsidP="009B3197">
      <w:pPr>
        <w:spacing w:line="240" w:lineRule="auto"/>
        <w:ind w:right="446"/>
        <w:jc w:val="both"/>
        <w:rPr>
          <w:rFonts w:ascii="Arial" w:hAnsi="Arial" w:cs="Arial"/>
          <w:i/>
          <w:color w:val="C00000"/>
          <w:sz w:val="24"/>
          <w:szCs w:val="24"/>
        </w:rPr>
      </w:pPr>
      <w:r w:rsidRPr="00051F4B">
        <w:rPr>
          <w:rFonts w:ascii="Arial" w:hAnsi="Arial" w:cs="Arial"/>
          <w:i/>
          <w:color w:val="C00000"/>
          <w:sz w:val="24"/>
          <w:szCs w:val="24"/>
        </w:rPr>
        <w:t>[Entity Scope]</w:t>
      </w:r>
    </w:p>
    <w:p w14:paraId="20A0539F" w14:textId="77777777" w:rsidR="00FD26A2" w:rsidRPr="00051F4B" w:rsidRDefault="00FD26A2" w:rsidP="00051F4B">
      <w:pPr>
        <w:pStyle w:val="Heading1"/>
        <w:rPr>
          <w:color w:val="auto"/>
        </w:rPr>
      </w:pPr>
      <w:r w:rsidRPr="00051F4B">
        <w:rPr>
          <w:color w:val="auto"/>
        </w:rPr>
        <w:t xml:space="preserve">4.0 </w:t>
      </w:r>
      <w:r w:rsidR="00C23014" w:rsidRPr="00051F4B">
        <w:rPr>
          <w:color w:val="auto"/>
        </w:rPr>
        <w:t>Information</w:t>
      </w:r>
      <w:r w:rsidRPr="00051F4B">
        <w:rPr>
          <w:color w:val="auto"/>
        </w:rPr>
        <w:t xml:space="preserve"> Statement</w:t>
      </w:r>
    </w:p>
    <w:p w14:paraId="3200A0E6" w14:textId="0296D35D" w:rsidR="00A255D0" w:rsidRPr="00A255D0" w:rsidRDefault="00A255D0" w:rsidP="009B3197">
      <w:pPr>
        <w:pStyle w:val="Default"/>
        <w:spacing w:after="200"/>
        <w:ind w:right="450"/>
        <w:jc w:val="both"/>
      </w:pPr>
      <w:r w:rsidRPr="00A255D0">
        <w:t xml:space="preserve">As per the </w:t>
      </w:r>
      <w:r w:rsidRPr="00051F4B">
        <w:t>Information Security Policy</w:t>
      </w:r>
      <w:r w:rsidRPr="00A255D0">
        <w:t>,</w:t>
      </w:r>
      <w:r w:rsidR="00D502FB">
        <w:t xml:space="preserve"> </w:t>
      </w:r>
      <w:r w:rsidRPr="00A255D0">
        <w:t>all software written for or deployed on systems must incorporate secure coding practices, to avoid the occurrence of common coding vulnerabilities and to be resilient to high-risk threats, before being deployed in production.</w:t>
      </w:r>
    </w:p>
    <w:p w14:paraId="19F2E13D" w14:textId="14541BF6" w:rsidR="00A255D0" w:rsidRPr="00A255D0" w:rsidRDefault="00A255D0" w:rsidP="009B3197">
      <w:pPr>
        <w:pStyle w:val="Default"/>
        <w:spacing w:after="200"/>
        <w:ind w:right="450"/>
        <w:jc w:val="both"/>
      </w:pPr>
      <w:r w:rsidRPr="00A255D0">
        <w:t xml:space="preserve">The items enumerated in this standard are not an exhaustive list of high-risk attacks and common coding errors but rather a list of the most damaging and pervasive. </w:t>
      </w:r>
      <w:r w:rsidR="00C507EF" w:rsidRPr="00A255D0">
        <w:t>Therefore,</w:t>
      </w:r>
      <w:r w:rsidRPr="00A255D0">
        <w:t xml:space="preserve"> code written must contain mitigating controls not only for the items </w:t>
      </w:r>
      <w:r w:rsidRPr="00A255D0">
        <w:lastRenderedPageBreak/>
        <w:t xml:space="preserve">specifically articulated in the standard below, but also for any medium and </w:t>
      </w:r>
      <w:r w:rsidR="00051F4B" w:rsidRPr="00A255D0">
        <w:t>high-risk</w:t>
      </w:r>
      <w:r w:rsidRPr="00A255D0">
        <w:t xml:space="preserve"> threats that are identified during a system’s life cycle.  </w:t>
      </w:r>
    </w:p>
    <w:p w14:paraId="15B79011" w14:textId="77777777" w:rsidR="00A255D0" w:rsidRPr="00A255D0" w:rsidRDefault="00A255D0" w:rsidP="009B3197">
      <w:pPr>
        <w:pStyle w:val="Default"/>
        <w:spacing w:after="120"/>
        <w:ind w:right="450"/>
        <w:jc w:val="both"/>
      </w:pPr>
      <w:r w:rsidRPr="00A255D0">
        <w:t>High risk threats include, but are not limited to:</w:t>
      </w:r>
    </w:p>
    <w:p w14:paraId="3E1EAAC7" w14:textId="77777777" w:rsidR="00A255D0" w:rsidRPr="00A255D0" w:rsidRDefault="00A255D0" w:rsidP="009B3197">
      <w:pPr>
        <w:pStyle w:val="Default"/>
        <w:numPr>
          <w:ilvl w:val="0"/>
          <w:numId w:val="32"/>
        </w:numPr>
        <w:spacing w:after="120"/>
        <w:ind w:right="450"/>
        <w:jc w:val="both"/>
      </w:pPr>
      <w:r w:rsidRPr="00A255D0">
        <w:t xml:space="preserve">Code Injection </w:t>
      </w:r>
    </w:p>
    <w:p w14:paraId="398A5C86" w14:textId="77777777" w:rsidR="00A255D0" w:rsidRPr="00A255D0" w:rsidRDefault="00A255D0" w:rsidP="009B3197">
      <w:pPr>
        <w:pStyle w:val="Default"/>
        <w:numPr>
          <w:ilvl w:val="0"/>
          <w:numId w:val="32"/>
        </w:numPr>
        <w:spacing w:after="120"/>
        <w:ind w:right="450"/>
        <w:jc w:val="both"/>
      </w:pPr>
      <w:r w:rsidRPr="00A255D0">
        <w:t>Cross-site scripting (XSS)</w:t>
      </w:r>
    </w:p>
    <w:p w14:paraId="0C0C5E6B" w14:textId="77777777" w:rsidR="00A255D0" w:rsidRPr="00A255D0" w:rsidRDefault="00A255D0" w:rsidP="009B3197">
      <w:pPr>
        <w:pStyle w:val="Default"/>
        <w:numPr>
          <w:ilvl w:val="0"/>
          <w:numId w:val="32"/>
        </w:numPr>
        <w:spacing w:after="120"/>
        <w:ind w:right="450"/>
        <w:jc w:val="both"/>
      </w:pPr>
      <w:r w:rsidRPr="00A255D0">
        <w:t>Cross-site request forgery (CSRF)</w:t>
      </w:r>
    </w:p>
    <w:p w14:paraId="518EEB43" w14:textId="77777777" w:rsidR="00A255D0" w:rsidRPr="00A255D0" w:rsidRDefault="00A255D0" w:rsidP="009B3197">
      <w:pPr>
        <w:pStyle w:val="Default"/>
        <w:numPr>
          <w:ilvl w:val="0"/>
          <w:numId w:val="32"/>
        </w:numPr>
        <w:spacing w:after="120"/>
        <w:ind w:right="450"/>
        <w:jc w:val="both"/>
      </w:pPr>
      <w:r w:rsidRPr="00A255D0">
        <w:t>Information leakage and improper error handling</w:t>
      </w:r>
    </w:p>
    <w:p w14:paraId="72E4529C" w14:textId="77777777" w:rsidR="00A255D0" w:rsidRPr="00A255D0" w:rsidRDefault="00A255D0" w:rsidP="009B3197">
      <w:pPr>
        <w:pStyle w:val="Default"/>
        <w:numPr>
          <w:ilvl w:val="0"/>
          <w:numId w:val="32"/>
        </w:numPr>
        <w:spacing w:after="120"/>
        <w:ind w:right="450"/>
        <w:jc w:val="both"/>
      </w:pPr>
      <w:r w:rsidRPr="00A255D0">
        <w:t>Missing Authentication for Critical Function</w:t>
      </w:r>
    </w:p>
    <w:p w14:paraId="3C4232BE" w14:textId="77777777" w:rsidR="00A255D0" w:rsidRPr="00A255D0" w:rsidRDefault="00A255D0" w:rsidP="009B3197">
      <w:pPr>
        <w:pStyle w:val="Default"/>
        <w:numPr>
          <w:ilvl w:val="0"/>
          <w:numId w:val="32"/>
        </w:numPr>
        <w:spacing w:after="120"/>
        <w:ind w:right="450"/>
        <w:jc w:val="both"/>
      </w:pPr>
      <w:r w:rsidRPr="00A255D0">
        <w:t>Missing Encryption of Sensitive Data</w:t>
      </w:r>
    </w:p>
    <w:p w14:paraId="52A17778" w14:textId="77777777" w:rsidR="00A255D0" w:rsidRPr="00A255D0" w:rsidRDefault="00A255D0" w:rsidP="009B3197">
      <w:pPr>
        <w:pStyle w:val="Default"/>
        <w:numPr>
          <w:ilvl w:val="0"/>
          <w:numId w:val="32"/>
        </w:numPr>
        <w:spacing w:after="200"/>
      </w:pPr>
      <w:r w:rsidRPr="00A255D0">
        <w:t>URL Redirection to Untrusted Site ('Open Redirect')</w:t>
      </w:r>
    </w:p>
    <w:p w14:paraId="7591C550" w14:textId="27851B96" w:rsidR="00A255D0" w:rsidRPr="009B3197" w:rsidRDefault="00A255D0" w:rsidP="009B3197">
      <w:pPr>
        <w:pStyle w:val="Default"/>
        <w:spacing w:after="200"/>
        <w:ind w:right="446"/>
        <w:jc w:val="both"/>
      </w:pPr>
      <w:r w:rsidRPr="009B3197">
        <w:t xml:space="preserve">At a minimum, code must eliminate or mitigate the threats identified in the current version of the </w:t>
      </w:r>
      <w:hyperlink r:id="rId11" w:tgtFrame="_blank" w:history="1">
        <w:r w:rsidRPr="009B3197">
          <w:rPr>
            <w:rStyle w:val="Hyperlink"/>
          </w:rPr>
          <w:t>Open Web Application Security Project (OWASP) Top 10 Most Critical Application Security Risks (‘OWASP Top 10’)</w:t>
        </w:r>
      </w:hyperlink>
      <w:r w:rsidRPr="009B3197">
        <w:t xml:space="preserve"> and the </w:t>
      </w:r>
      <w:hyperlink r:id="rId12" w:tgtFrame="_blank" w:history="1">
        <w:r w:rsidRPr="009B3197">
          <w:rPr>
            <w:rStyle w:val="Hyperlink"/>
          </w:rPr>
          <w:t>Common Weakness Enumeration (CWE)/SANS Top 25 Most Dangerous Software Errors (‘CWE/SANS Top 25’)</w:t>
        </w:r>
      </w:hyperlink>
      <w:r w:rsidRPr="009B3197">
        <w:t xml:space="preserve"> publications (see </w:t>
      </w:r>
      <w:hyperlink w:anchor="AppendixA" w:history="1">
        <w:r w:rsidRPr="009B3197">
          <w:rPr>
            <w:rStyle w:val="Hyperlink"/>
          </w:rPr>
          <w:t>Appendix A</w:t>
        </w:r>
      </w:hyperlink>
      <w:r w:rsidRPr="009B3197">
        <w:t xml:space="preserve">). </w:t>
      </w:r>
    </w:p>
    <w:p w14:paraId="1302086B" w14:textId="6A144364" w:rsidR="00A255D0" w:rsidRPr="009B3197" w:rsidRDefault="00A255D0" w:rsidP="009B3197">
      <w:pPr>
        <w:pStyle w:val="Default"/>
        <w:spacing w:after="200"/>
        <w:ind w:right="446"/>
        <w:jc w:val="both"/>
      </w:pPr>
      <w:r w:rsidRPr="009B3197">
        <w:t>Both OWASP and CWE/SANS periodically reissue their respective lists based on changes in vulnerability and exploitation patterns. Developers are required to independently remain aware of updates to these lists and incorporate any new recommendations.</w:t>
      </w:r>
    </w:p>
    <w:p w14:paraId="1C1845D6" w14:textId="09FC8F10" w:rsidR="00A255D0" w:rsidRPr="009B3197" w:rsidRDefault="00A255D0" w:rsidP="009B3197">
      <w:pPr>
        <w:pStyle w:val="Default"/>
        <w:spacing w:after="200"/>
        <w:ind w:right="446"/>
        <w:jc w:val="both"/>
      </w:pPr>
      <w:r w:rsidRPr="009B3197">
        <w:t xml:space="preserve">Use of common security control libraries and common API’s, that have undergone security testing, is required to ensure a consistent approach that minimizes defects and prevents exploitation. When available, </w:t>
      </w:r>
      <w:r w:rsidR="00B57EE8" w:rsidRPr="009B3197">
        <w:t>publicly</w:t>
      </w:r>
      <w:r w:rsidRPr="009B3197">
        <w:t xml:space="preserve"> available or vendor-supplied libraries or APIs should be used unless there’s a business case developed and exception granted by the Information Security Officer (ISO)/designated security representative to develop a custom library.</w:t>
      </w:r>
    </w:p>
    <w:p w14:paraId="157629EE" w14:textId="6199936A" w:rsidR="00A255D0" w:rsidRPr="009B3197" w:rsidRDefault="00A255D0" w:rsidP="009B3197">
      <w:pPr>
        <w:pStyle w:val="Default"/>
        <w:spacing w:after="200"/>
        <w:ind w:right="446"/>
        <w:jc w:val="both"/>
      </w:pPr>
      <w:r w:rsidRPr="009B3197">
        <w:t>To prevent defects or detect and remove them early, thereby realizing significant cost and schedule benefits to the</w:t>
      </w:r>
      <w:r w:rsidR="00B57EE8">
        <w:t xml:space="preserve"> entity</w:t>
      </w:r>
      <w:r w:rsidRPr="009B3197">
        <w:t>, code must be checked for errors throughout development and during maintenance.</w:t>
      </w:r>
    </w:p>
    <w:p w14:paraId="20A053A3" w14:textId="00A20E26" w:rsidR="008F3568" w:rsidRPr="009B3197" w:rsidRDefault="00B57EE8" w:rsidP="009B3197">
      <w:pPr>
        <w:pStyle w:val="Default"/>
        <w:spacing w:after="200"/>
        <w:ind w:right="446"/>
        <w:jc w:val="both"/>
      </w:pPr>
      <w:r>
        <w:t>Entities</w:t>
      </w:r>
      <w:r w:rsidR="00A255D0" w:rsidRPr="009B3197">
        <w:t xml:space="preserve"> must verify that the software assurance model used by the vendor is in line with this standard through vendor assurances, security testing and/or contract requirements.</w:t>
      </w:r>
    </w:p>
    <w:p w14:paraId="20A053A4" w14:textId="77777777" w:rsidR="00FD26A2" w:rsidRPr="00051F4B" w:rsidRDefault="00AF069C" w:rsidP="00051F4B">
      <w:pPr>
        <w:pStyle w:val="Heading1"/>
        <w:rPr>
          <w:color w:val="auto"/>
        </w:rPr>
      </w:pPr>
      <w:r w:rsidRPr="00051F4B">
        <w:rPr>
          <w:color w:val="auto"/>
        </w:rPr>
        <w:t>5.0 Compliance</w:t>
      </w:r>
    </w:p>
    <w:p w14:paraId="5E181EC4" w14:textId="1A6C3964" w:rsidR="000D0DD2" w:rsidRDefault="000D0DD2" w:rsidP="009B3197">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051F4B">
        <w:rPr>
          <w:rFonts w:ascii="Arial" w:hAnsi="Arial" w:cs="Arial"/>
          <w:sz w:val="24"/>
          <w:szCs w:val="24"/>
        </w:rPr>
        <w:t>Policies</w:t>
      </w:r>
      <w:r w:rsidRPr="00705317">
        <w:rPr>
          <w:rFonts w:ascii="Arial" w:hAnsi="Arial" w:cs="Arial"/>
          <w:sz w:val="24"/>
          <w:szCs w:val="24"/>
        </w:rPr>
        <w:t xml:space="preserve"> and standards </w:t>
      </w:r>
      <w:r w:rsidR="00051F4B">
        <w:rPr>
          <w:rFonts w:ascii="Arial" w:hAnsi="Arial" w:cs="Arial"/>
          <w:sz w:val="24"/>
          <w:szCs w:val="24"/>
        </w:rPr>
        <w:t xml:space="preserve">may be amended </w:t>
      </w:r>
      <w:r w:rsidRPr="00705317">
        <w:rPr>
          <w:rFonts w:ascii="Arial" w:hAnsi="Arial" w:cs="Arial"/>
          <w:sz w:val="24"/>
          <w:szCs w:val="24"/>
        </w:rPr>
        <w:t>at any time.</w:t>
      </w:r>
    </w:p>
    <w:p w14:paraId="53D0428A" w14:textId="4C35733A" w:rsidR="000D0DD2" w:rsidRDefault="000D0DD2" w:rsidP="009B3197">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B57EE8">
        <w:rPr>
          <w:rFonts w:ascii="Arial" w:hAnsi="Arial" w:cs="Arial"/>
          <w:sz w:val="24"/>
          <w:szCs w:val="24"/>
        </w:rPr>
        <w:t>entities</w:t>
      </w:r>
      <w:r w:rsidRPr="00896333">
        <w:rPr>
          <w:rFonts w:ascii="Arial" w:hAnsi="Arial" w:cs="Arial"/>
          <w:sz w:val="24"/>
          <w:szCs w:val="24"/>
        </w:rPr>
        <w:t xml:space="preserve"> shall request an exception through the </w:t>
      </w:r>
      <w:r w:rsidR="000A30FC">
        <w:rPr>
          <w:rFonts w:ascii="Arial" w:hAnsi="Arial" w:cs="Arial"/>
          <w:sz w:val="24"/>
          <w:szCs w:val="24"/>
        </w:rPr>
        <w:t>Chief</w:t>
      </w:r>
      <w:r w:rsidR="000A30FC" w:rsidRPr="00896333">
        <w:rPr>
          <w:rFonts w:ascii="Arial" w:hAnsi="Arial" w:cs="Arial"/>
          <w:sz w:val="24"/>
          <w:szCs w:val="24"/>
        </w:rPr>
        <w:t xml:space="preserve"> </w:t>
      </w:r>
      <w:r w:rsidRPr="00896333">
        <w:rPr>
          <w:rFonts w:ascii="Arial" w:hAnsi="Arial" w:cs="Arial"/>
          <w:sz w:val="24"/>
          <w:szCs w:val="24"/>
        </w:rPr>
        <w:t>Information Security Office</w:t>
      </w:r>
      <w:r w:rsidR="00B57EE8">
        <w:rPr>
          <w:rFonts w:ascii="Arial" w:hAnsi="Arial" w:cs="Arial"/>
          <w:sz w:val="24"/>
          <w:szCs w:val="24"/>
        </w:rPr>
        <w:t>r’s</w:t>
      </w:r>
      <w:r w:rsidRPr="00896333">
        <w:rPr>
          <w:rFonts w:ascii="Arial" w:hAnsi="Arial" w:cs="Arial"/>
          <w:sz w:val="24"/>
          <w:szCs w:val="24"/>
        </w:rPr>
        <w:t xml:space="preserve"> </w:t>
      </w:r>
      <w:r w:rsidRPr="00051F4B">
        <w:rPr>
          <w:rFonts w:ascii="Arial" w:hAnsi="Arial" w:cs="Arial"/>
          <w:sz w:val="24"/>
          <w:szCs w:val="24"/>
        </w:rPr>
        <w:t>exception process</w:t>
      </w:r>
      <w:r w:rsidRPr="00896333">
        <w:rPr>
          <w:rFonts w:ascii="Arial" w:hAnsi="Arial" w:cs="Arial"/>
          <w:sz w:val="24"/>
          <w:szCs w:val="24"/>
        </w:rPr>
        <w:t>.</w:t>
      </w:r>
    </w:p>
    <w:p w14:paraId="20A053A7" w14:textId="6A79DB5A" w:rsidR="00FD26A2" w:rsidRDefault="00FD26A2" w:rsidP="00051F4B">
      <w:pPr>
        <w:pStyle w:val="Heading1"/>
        <w:rPr>
          <w:color w:val="auto"/>
        </w:rPr>
      </w:pPr>
      <w:r w:rsidRPr="00051F4B">
        <w:rPr>
          <w:color w:val="auto"/>
        </w:rPr>
        <w:lastRenderedPageBreak/>
        <w:t>6.0 Definitions of Key Terms</w:t>
      </w:r>
    </w:p>
    <w:tbl>
      <w:tblPr>
        <w:tblW w:w="4042" w:type="pct"/>
        <w:tblInd w:w="41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28"/>
        <w:gridCol w:w="5649"/>
      </w:tblGrid>
      <w:tr w:rsidR="00051F4B" w:rsidRPr="00446B8D" w14:paraId="48C558BD" w14:textId="77777777" w:rsidTr="00C07D38">
        <w:trPr>
          <w:trHeight w:val="635"/>
        </w:trPr>
        <w:tc>
          <w:tcPr>
            <w:tcW w:w="1368" w:type="pct"/>
            <w:vAlign w:val="center"/>
          </w:tcPr>
          <w:p w14:paraId="0C6AE12A" w14:textId="77777777" w:rsidR="00051F4B" w:rsidRPr="00446B8D" w:rsidRDefault="00051F4B" w:rsidP="00C07D38">
            <w:pPr>
              <w:keepNext/>
              <w:keepLines/>
              <w:spacing w:before="60" w:after="60" w:line="240" w:lineRule="auto"/>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632" w:type="pct"/>
            <w:vAlign w:val="center"/>
          </w:tcPr>
          <w:p w14:paraId="7B4CB4E9" w14:textId="77777777" w:rsidR="00051F4B" w:rsidRPr="00D064CA" w:rsidRDefault="00051F4B" w:rsidP="00C07D38">
            <w:pPr>
              <w:keepNext/>
              <w:keepLines/>
              <w:spacing w:before="60" w:after="60" w:line="240" w:lineRule="auto"/>
              <w:ind w:left="45" w:right="130"/>
              <w:jc w:val="both"/>
              <w:rPr>
                <w:rFonts w:ascii="Arial" w:hAnsi="Arial" w:cs="Arial"/>
                <w:color w:val="373738"/>
                <w:sz w:val="24"/>
                <w:szCs w:val="24"/>
              </w:rPr>
            </w:pPr>
            <w:r w:rsidRPr="00D064CA">
              <w:rPr>
                <w:rFonts w:ascii="Arial" w:hAnsi="Arial" w:cs="Arial"/>
                <w:bCs/>
                <w:iCs/>
                <w:color w:val="373738"/>
                <w:sz w:val="24"/>
                <w:szCs w:val="24"/>
              </w:rPr>
              <w:t>Definition</w:t>
            </w:r>
          </w:p>
        </w:tc>
      </w:tr>
      <w:tr w:rsidR="00051F4B" w:rsidRPr="00446B8D" w14:paraId="321C127F" w14:textId="77777777" w:rsidTr="00C07D38">
        <w:trPr>
          <w:trHeight w:val="621"/>
        </w:trPr>
        <w:tc>
          <w:tcPr>
            <w:tcW w:w="1368" w:type="pct"/>
          </w:tcPr>
          <w:p w14:paraId="55EA1B82" w14:textId="77777777" w:rsidR="00051F4B" w:rsidRPr="00446B8D" w:rsidRDefault="00051F4B" w:rsidP="00C07D38">
            <w:pPr>
              <w:keepNext/>
              <w:keepLines/>
              <w:spacing w:before="60" w:after="60" w:line="240" w:lineRule="auto"/>
              <w:ind w:left="40"/>
              <w:rPr>
                <w:rFonts w:ascii="Arial" w:hAnsi="Arial" w:cs="Arial"/>
                <w:color w:val="373738"/>
                <w:sz w:val="24"/>
                <w:szCs w:val="24"/>
              </w:rPr>
            </w:pPr>
          </w:p>
        </w:tc>
        <w:tc>
          <w:tcPr>
            <w:tcW w:w="3632" w:type="pct"/>
          </w:tcPr>
          <w:p w14:paraId="112E23B2" w14:textId="77777777" w:rsidR="00051F4B" w:rsidRPr="00D064CA" w:rsidRDefault="00051F4B" w:rsidP="00C07D38">
            <w:pPr>
              <w:keepNext/>
              <w:keepLines/>
              <w:spacing w:before="60" w:after="60" w:line="240" w:lineRule="auto"/>
              <w:ind w:left="45" w:right="130"/>
              <w:jc w:val="both"/>
              <w:rPr>
                <w:rFonts w:ascii="Arial" w:hAnsi="Arial" w:cs="Arial"/>
                <w:color w:val="373738"/>
                <w:sz w:val="24"/>
                <w:szCs w:val="24"/>
              </w:rPr>
            </w:pPr>
          </w:p>
        </w:tc>
      </w:tr>
    </w:tbl>
    <w:p w14:paraId="5FE0E89B" w14:textId="77777777" w:rsidR="00051F4B" w:rsidRPr="00051F4B" w:rsidRDefault="00051F4B" w:rsidP="00051F4B"/>
    <w:p w14:paraId="20A053AD" w14:textId="77777777" w:rsidR="00426882" w:rsidRPr="007D0680" w:rsidRDefault="00FD26A2" w:rsidP="007D0680">
      <w:pPr>
        <w:pStyle w:val="Heading1"/>
        <w:rPr>
          <w:color w:val="auto"/>
        </w:rPr>
      </w:pPr>
      <w:r w:rsidRPr="007D0680">
        <w:rPr>
          <w:color w:val="auto"/>
        </w:rPr>
        <w:t>7.0 Contact Information</w:t>
      </w:r>
    </w:p>
    <w:p w14:paraId="20A053AE" w14:textId="77777777" w:rsidR="008220CB" w:rsidRDefault="008220CB" w:rsidP="009B3197">
      <w:pPr>
        <w:keepNext/>
        <w:keepLines/>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07707F7A" w14:textId="445815B9" w:rsidR="00EC7875" w:rsidRPr="00B57EE8" w:rsidRDefault="00B57EE8" w:rsidP="009B3197">
      <w:pPr>
        <w:keepNext/>
        <w:keepLines/>
        <w:spacing w:line="252" w:lineRule="auto"/>
        <w:ind w:right="446"/>
        <w:jc w:val="center"/>
        <w:rPr>
          <w:rFonts w:ascii="Arial" w:hAnsi="Arial" w:cs="Arial"/>
          <w:b/>
          <w:color w:val="C00000"/>
          <w:sz w:val="24"/>
          <w:szCs w:val="24"/>
        </w:rPr>
      </w:pPr>
      <w:r w:rsidRPr="00B57EE8">
        <w:rPr>
          <w:rFonts w:ascii="Arial" w:hAnsi="Arial" w:cs="Arial"/>
          <w:b/>
          <w:color w:val="C00000"/>
          <w:sz w:val="24"/>
          <w:szCs w:val="24"/>
        </w:rPr>
        <w:t>[Entity Address]</w:t>
      </w:r>
    </w:p>
    <w:p w14:paraId="20A053B8" w14:textId="77777777" w:rsidR="00FD26A2" w:rsidRPr="007D0680" w:rsidRDefault="00FD26A2" w:rsidP="007D0680">
      <w:pPr>
        <w:pStyle w:val="Heading1"/>
        <w:rPr>
          <w:color w:val="auto"/>
        </w:rPr>
      </w:pPr>
      <w:r w:rsidRPr="007D0680">
        <w:rPr>
          <w:color w:val="auto"/>
        </w:rPr>
        <w:t>8.0 R</w:t>
      </w:r>
      <w:r w:rsidR="00B34139" w:rsidRPr="007D0680">
        <w:rPr>
          <w:color w:val="auto"/>
        </w:rPr>
        <w:t>evision</w:t>
      </w:r>
      <w:r w:rsidRPr="007D0680">
        <w:rPr>
          <w:color w:val="auto"/>
        </w:rPr>
        <w:t xml:space="preserve"> History</w:t>
      </w:r>
    </w:p>
    <w:p w14:paraId="18B50728" w14:textId="00B317D0" w:rsidR="00A255D0" w:rsidRPr="00A255D0" w:rsidRDefault="00A255D0" w:rsidP="00A255D0">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to ensure relevance.</w:t>
      </w:r>
    </w:p>
    <w:tbl>
      <w:tblPr>
        <w:tblW w:w="9710" w:type="dxa"/>
        <w:tblBorders>
          <w:top w:val="nil"/>
          <w:left w:val="nil"/>
          <w:bottom w:val="nil"/>
          <w:right w:val="nil"/>
        </w:tblBorders>
        <w:tblLayout w:type="fixed"/>
        <w:tblLook w:val="0000" w:firstRow="0" w:lastRow="0" w:firstColumn="0" w:lastColumn="0" w:noHBand="0" w:noVBand="0"/>
      </w:tblPr>
      <w:tblGrid>
        <w:gridCol w:w="1610"/>
        <w:gridCol w:w="5220"/>
        <w:gridCol w:w="2880"/>
      </w:tblGrid>
      <w:tr w:rsidR="00A255D0" w:rsidRPr="00593616" w14:paraId="64BC18F0" w14:textId="77777777" w:rsidTr="009B3197">
        <w:trPr>
          <w:trHeight w:val="304"/>
        </w:trPr>
        <w:tc>
          <w:tcPr>
            <w:tcW w:w="1610" w:type="dxa"/>
            <w:tcBorders>
              <w:top w:val="single" w:sz="8" w:space="0" w:color="000000"/>
              <w:left w:val="single" w:sz="8" w:space="0" w:color="000000"/>
              <w:bottom w:val="single" w:sz="8" w:space="0" w:color="000000"/>
              <w:right w:val="single" w:sz="8" w:space="0" w:color="000000"/>
            </w:tcBorders>
          </w:tcPr>
          <w:p w14:paraId="2C181EEE" w14:textId="733378FA" w:rsidR="00A255D0" w:rsidRPr="00A255D0" w:rsidRDefault="00A255D0" w:rsidP="009B3197">
            <w:pPr>
              <w:spacing w:after="0" w:line="240" w:lineRule="auto"/>
              <w:jc w:val="both"/>
              <w:rPr>
                <w:rFonts w:ascii="Arial" w:hAnsi="Arial" w:cs="Arial"/>
                <w:b/>
                <w:sz w:val="24"/>
                <w:szCs w:val="24"/>
              </w:rPr>
            </w:pPr>
            <w:r w:rsidRPr="00A255D0">
              <w:rPr>
                <w:rFonts w:ascii="Arial" w:hAnsi="Arial" w:cs="Arial"/>
                <w:b/>
                <w:sz w:val="24"/>
                <w:szCs w:val="24"/>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34674BBB" w14:textId="77777777" w:rsidR="00A255D0" w:rsidRPr="00A255D0" w:rsidRDefault="00A255D0" w:rsidP="00A255D0">
            <w:pPr>
              <w:pStyle w:val="Default"/>
              <w:rPr>
                <w:b/>
                <w:bCs/>
              </w:rPr>
            </w:pPr>
            <w:r w:rsidRPr="00A255D0">
              <w:rPr>
                <w:b/>
                <w:bCs/>
              </w:rPr>
              <w:t xml:space="preserve">Description of Change </w:t>
            </w:r>
          </w:p>
        </w:tc>
        <w:tc>
          <w:tcPr>
            <w:tcW w:w="2880" w:type="dxa"/>
            <w:tcBorders>
              <w:top w:val="single" w:sz="8" w:space="0" w:color="000000"/>
              <w:left w:val="single" w:sz="8" w:space="0" w:color="000000"/>
              <w:bottom w:val="single" w:sz="8" w:space="0" w:color="000000"/>
              <w:right w:val="single" w:sz="8" w:space="0" w:color="000000"/>
            </w:tcBorders>
          </w:tcPr>
          <w:p w14:paraId="79D11268" w14:textId="77777777" w:rsidR="00A255D0" w:rsidRPr="00A255D0" w:rsidRDefault="00A255D0" w:rsidP="00A255D0">
            <w:pPr>
              <w:pStyle w:val="Default"/>
              <w:rPr>
                <w:b/>
                <w:bCs/>
              </w:rPr>
            </w:pPr>
            <w:r w:rsidRPr="00A255D0">
              <w:rPr>
                <w:b/>
                <w:bCs/>
              </w:rPr>
              <w:t>Reviewer</w:t>
            </w:r>
          </w:p>
        </w:tc>
      </w:tr>
      <w:tr w:rsidR="00A255D0" w:rsidRPr="00593616" w14:paraId="40860AF3" w14:textId="77777777" w:rsidTr="009B3197">
        <w:trPr>
          <w:trHeight w:val="304"/>
        </w:trPr>
        <w:tc>
          <w:tcPr>
            <w:tcW w:w="1610" w:type="dxa"/>
            <w:tcBorders>
              <w:top w:val="single" w:sz="8" w:space="0" w:color="000000"/>
              <w:left w:val="single" w:sz="8" w:space="0" w:color="000000"/>
              <w:bottom w:val="single" w:sz="8" w:space="0" w:color="000000"/>
              <w:right w:val="single" w:sz="8" w:space="0" w:color="000000"/>
            </w:tcBorders>
          </w:tcPr>
          <w:p w14:paraId="1F15A474" w14:textId="77B5EE03" w:rsidR="00A255D0" w:rsidRPr="00A255D0" w:rsidRDefault="00A255D0" w:rsidP="009B3197">
            <w:pPr>
              <w:spacing w:after="0" w:line="240" w:lineRule="auto"/>
              <w:jc w:val="both"/>
              <w:rPr>
                <w:rFonts w:ascii="Arial" w:hAnsi="Arial" w:cs="Arial"/>
                <w:sz w:val="24"/>
                <w:szCs w:val="24"/>
              </w:rPr>
            </w:pPr>
          </w:p>
        </w:tc>
        <w:tc>
          <w:tcPr>
            <w:tcW w:w="5220" w:type="dxa"/>
            <w:tcBorders>
              <w:top w:val="single" w:sz="8" w:space="0" w:color="000000"/>
              <w:left w:val="single" w:sz="8" w:space="0" w:color="000000"/>
              <w:bottom w:val="single" w:sz="8" w:space="0" w:color="000000"/>
              <w:right w:val="single" w:sz="8" w:space="0" w:color="000000"/>
            </w:tcBorders>
          </w:tcPr>
          <w:p w14:paraId="1C52B3E2" w14:textId="14115350" w:rsidR="00A255D0" w:rsidRPr="00A255D0" w:rsidRDefault="00A255D0" w:rsidP="00A255D0">
            <w:pPr>
              <w:pStyle w:val="Default"/>
              <w:jc w:val="both"/>
              <w:rPr>
                <w:bCs/>
              </w:rPr>
            </w:pPr>
          </w:p>
        </w:tc>
        <w:tc>
          <w:tcPr>
            <w:tcW w:w="2880" w:type="dxa"/>
            <w:tcBorders>
              <w:top w:val="single" w:sz="8" w:space="0" w:color="000000"/>
              <w:left w:val="single" w:sz="8" w:space="0" w:color="000000"/>
              <w:bottom w:val="single" w:sz="8" w:space="0" w:color="000000"/>
              <w:right w:val="single" w:sz="8" w:space="0" w:color="000000"/>
            </w:tcBorders>
          </w:tcPr>
          <w:p w14:paraId="2BCBB25B" w14:textId="069EC5A7" w:rsidR="00A255D0" w:rsidRPr="00A255D0" w:rsidRDefault="00A255D0" w:rsidP="000C785D">
            <w:pPr>
              <w:pStyle w:val="Default"/>
              <w:rPr>
                <w:bCs/>
              </w:rPr>
            </w:pPr>
          </w:p>
        </w:tc>
      </w:tr>
    </w:tbl>
    <w:p w14:paraId="20A053C3" w14:textId="07FEB6E4" w:rsidR="00862653" w:rsidRPr="007D0680" w:rsidRDefault="00FD26A2" w:rsidP="007D0680">
      <w:pPr>
        <w:pStyle w:val="Heading1"/>
        <w:rPr>
          <w:color w:val="auto"/>
        </w:rPr>
      </w:pPr>
      <w:r w:rsidRPr="007D0680">
        <w:rPr>
          <w:color w:val="auto"/>
        </w:rPr>
        <w:t>9.0 Related Documents</w:t>
      </w:r>
    </w:p>
    <w:p w14:paraId="3F27F93F" w14:textId="77777777" w:rsidR="00A255D0" w:rsidRPr="009B3197" w:rsidRDefault="00890FE2" w:rsidP="009B3197">
      <w:pPr>
        <w:spacing w:after="120" w:line="240" w:lineRule="auto"/>
        <w:ind w:right="446"/>
        <w:jc w:val="both"/>
        <w:rPr>
          <w:rFonts w:ascii="Arial" w:hAnsi="Arial" w:cs="Arial"/>
          <w:sz w:val="24"/>
          <w:szCs w:val="24"/>
        </w:rPr>
      </w:pPr>
      <w:hyperlink r:id="rId13" w:tgtFrame="_blank" w:history="1">
        <w:r w:rsidR="00A255D0" w:rsidRPr="009B3197">
          <w:rPr>
            <w:rStyle w:val="Hyperlink"/>
            <w:rFonts w:ascii="Arial" w:hAnsi="Arial" w:cs="Arial"/>
            <w:sz w:val="24"/>
            <w:szCs w:val="24"/>
          </w:rPr>
          <w:t>Open Web Application Security Project (OWASP) Top 10 Most Critical Application Security Risks (‘OWASP Top 10’)</w:t>
        </w:r>
      </w:hyperlink>
    </w:p>
    <w:p w14:paraId="50EF3E54" w14:textId="7B91C125" w:rsidR="00A255D0" w:rsidRPr="009B3197" w:rsidRDefault="00890FE2" w:rsidP="009B3197">
      <w:pPr>
        <w:spacing w:after="120" w:line="240" w:lineRule="auto"/>
        <w:ind w:right="446"/>
        <w:jc w:val="both"/>
        <w:rPr>
          <w:rFonts w:ascii="Arial" w:hAnsi="Arial" w:cs="Arial"/>
          <w:sz w:val="24"/>
          <w:szCs w:val="24"/>
        </w:rPr>
      </w:pPr>
      <w:hyperlink r:id="rId14" w:tgtFrame="_blank" w:history="1">
        <w:r w:rsidR="00A255D0" w:rsidRPr="009B3197">
          <w:rPr>
            <w:rStyle w:val="Hyperlink"/>
            <w:rFonts w:ascii="Arial" w:hAnsi="Arial" w:cs="Arial"/>
            <w:sz w:val="24"/>
            <w:szCs w:val="24"/>
          </w:rPr>
          <w:t>Open Web Application Security Project (OWASP) Developer Cheat Sheets</w:t>
        </w:r>
      </w:hyperlink>
    </w:p>
    <w:p w14:paraId="0536EA38" w14:textId="77777777" w:rsidR="00A255D0" w:rsidRPr="009B3197" w:rsidRDefault="00890FE2" w:rsidP="009B3197">
      <w:pPr>
        <w:spacing w:after="120" w:line="240" w:lineRule="auto"/>
        <w:ind w:right="446"/>
        <w:jc w:val="both"/>
        <w:rPr>
          <w:rFonts w:ascii="Arial" w:hAnsi="Arial" w:cs="Arial"/>
          <w:sz w:val="24"/>
          <w:szCs w:val="24"/>
        </w:rPr>
      </w:pPr>
      <w:hyperlink r:id="rId15" w:anchor="tab=Home" w:history="1">
        <w:r w:rsidR="00A255D0" w:rsidRPr="009B3197">
          <w:rPr>
            <w:rStyle w:val="Hyperlink"/>
            <w:rFonts w:ascii="Arial" w:hAnsi="Arial" w:cs="Arial"/>
            <w:sz w:val="24"/>
            <w:szCs w:val="24"/>
          </w:rPr>
          <w:t>Open Web Application Security Project (OWASP) Enterprise Security API</w:t>
        </w:r>
      </w:hyperlink>
    </w:p>
    <w:p w14:paraId="26C427AF" w14:textId="77777777" w:rsidR="00A255D0" w:rsidRPr="009B3197" w:rsidRDefault="00890FE2" w:rsidP="009B3197">
      <w:pPr>
        <w:spacing w:after="120" w:line="240" w:lineRule="auto"/>
        <w:ind w:right="446"/>
        <w:jc w:val="both"/>
        <w:rPr>
          <w:rFonts w:ascii="Arial" w:hAnsi="Arial" w:cs="Arial"/>
          <w:sz w:val="24"/>
          <w:szCs w:val="24"/>
        </w:rPr>
      </w:pPr>
      <w:hyperlink r:id="rId16" w:tgtFrame="_blank" w:history="1">
        <w:r w:rsidR="00A255D0" w:rsidRPr="009B3197">
          <w:rPr>
            <w:rStyle w:val="Hyperlink"/>
            <w:rFonts w:ascii="Arial" w:hAnsi="Arial" w:cs="Arial"/>
            <w:sz w:val="24"/>
            <w:szCs w:val="24"/>
          </w:rPr>
          <w:t>Common Weakness Enumeration (CWE)/SANS Top 25 Most Dangerous Software Errors ‘CWE/SANS Top 25’)</w:t>
        </w:r>
      </w:hyperlink>
    </w:p>
    <w:p w14:paraId="4E332709" w14:textId="77777777" w:rsidR="00A255D0" w:rsidRPr="009B3197" w:rsidRDefault="00890FE2" w:rsidP="009B3197">
      <w:pPr>
        <w:spacing w:after="120" w:line="240" w:lineRule="auto"/>
        <w:ind w:right="446"/>
        <w:jc w:val="both"/>
        <w:rPr>
          <w:rFonts w:ascii="Arial" w:hAnsi="Arial" w:cs="Arial"/>
          <w:sz w:val="24"/>
          <w:szCs w:val="24"/>
          <w:u w:val="single"/>
        </w:rPr>
      </w:pPr>
      <w:hyperlink r:id="rId17" w:tgtFrame="_blank" w:history="1">
        <w:r w:rsidR="00A255D0" w:rsidRPr="009B3197">
          <w:rPr>
            <w:rStyle w:val="Hyperlink"/>
            <w:rFonts w:ascii="Arial" w:hAnsi="Arial" w:cs="Arial"/>
            <w:sz w:val="24"/>
            <w:szCs w:val="24"/>
          </w:rPr>
          <w:t>Common Weakness Enumeration (CWE) List</w:t>
        </w:r>
      </w:hyperlink>
    </w:p>
    <w:p w14:paraId="1B6D6288" w14:textId="685E0AC6" w:rsidR="00A255D0" w:rsidRPr="00DF1C4A" w:rsidRDefault="00DF1C4A" w:rsidP="009B3197">
      <w:pPr>
        <w:spacing w:after="12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"http://www.cert.org/secure-coding/research/secure-coding-standards.cfm?" \t "_blank" </w:instrText>
      </w:r>
      <w:r>
        <w:rPr>
          <w:rFonts w:ascii="Arial" w:hAnsi="Arial" w:cs="Arial"/>
          <w:sz w:val="24"/>
          <w:szCs w:val="24"/>
        </w:rPr>
        <w:fldChar w:fldCharType="separate"/>
      </w:r>
      <w:r w:rsidR="00A255D0" w:rsidRPr="00DF1C4A">
        <w:rPr>
          <w:rStyle w:val="Hyperlink"/>
          <w:rFonts w:ascii="Arial" w:hAnsi="Arial" w:cs="Arial"/>
          <w:sz w:val="24"/>
          <w:szCs w:val="24"/>
        </w:rPr>
        <w:t>Carnegie Mellon Software Engineering Institute CERT Secure Coding Standards</w:t>
      </w:r>
    </w:p>
    <w:p w14:paraId="732B99B3" w14:textId="2634832E" w:rsidR="00083D80" w:rsidRPr="009B3197" w:rsidRDefault="00DF1C4A" w:rsidP="009B3197">
      <w:pPr>
        <w:spacing w:after="120" w:line="240" w:lineRule="auto"/>
        <w:ind w:right="446"/>
        <w:jc w:val="both"/>
        <w:rPr>
          <w:rFonts w:ascii="Arial" w:hAnsi="Arial" w:cs="Arial"/>
          <w:sz w:val="24"/>
          <w:szCs w:val="24"/>
        </w:rPr>
      </w:pPr>
      <w:r>
        <w:rPr>
          <w:rFonts w:ascii="Arial" w:hAnsi="Arial" w:cs="Arial"/>
          <w:sz w:val="24"/>
          <w:szCs w:val="24"/>
        </w:rPr>
        <w:fldChar w:fldCharType="end"/>
      </w:r>
      <w:bookmarkStart w:id="2" w:name="_Appendix_A_Security"/>
      <w:bookmarkStart w:id="3" w:name="_Appendix_A:_"/>
      <w:bookmarkEnd w:id="2"/>
      <w:bookmarkEnd w:id="3"/>
      <w:r w:rsidR="00083D80" w:rsidRPr="009B3197">
        <w:rPr>
          <w:rFonts w:ascii="Arial" w:hAnsi="Arial" w:cs="Arial"/>
          <w:sz w:val="24"/>
          <w:szCs w:val="24"/>
        </w:rPr>
        <w:t xml:space="preserve"> </w:t>
      </w:r>
    </w:p>
    <w:p w14:paraId="0308F68F" w14:textId="77777777" w:rsidR="00083D80" w:rsidRDefault="00083D80" w:rsidP="00A255D0">
      <w:pPr>
        <w:spacing w:line="240" w:lineRule="auto"/>
        <w:ind w:right="446"/>
        <w:jc w:val="both"/>
        <w:rPr>
          <w:rFonts w:ascii="Arial" w:hAnsi="Arial" w:cs="Arial"/>
          <w:sz w:val="24"/>
          <w:szCs w:val="24"/>
        </w:rPr>
        <w:sectPr w:rsidR="00083D80" w:rsidSect="00517A11">
          <w:footerReference w:type="default" r:id="rId18"/>
          <w:headerReference w:type="first" r:id="rId19"/>
          <w:pgSz w:w="12240" w:h="15840"/>
          <w:pgMar w:top="1440" w:right="1170" w:bottom="1440" w:left="1440" w:header="720" w:footer="720" w:gutter="0"/>
          <w:pgNumType w:start="1"/>
          <w:cols w:space="720"/>
          <w:titlePg/>
          <w:docGrid w:linePitch="360"/>
        </w:sectPr>
      </w:pPr>
    </w:p>
    <w:p w14:paraId="4EAD979F" w14:textId="04348B60" w:rsidR="00083D80" w:rsidRPr="000D0717" w:rsidRDefault="00083D80" w:rsidP="00083D80">
      <w:pPr>
        <w:spacing w:line="240" w:lineRule="auto"/>
        <w:ind w:right="446"/>
        <w:jc w:val="both"/>
        <w:rPr>
          <w:rFonts w:ascii="Arial" w:hAnsi="Arial" w:cs="Arial"/>
          <w:sz w:val="24"/>
          <w:szCs w:val="24"/>
        </w:rPr>
      </w:pPr>
      <w:bookmarkStart w:id="4" w:name="AppendixA"/>
      <w:r w:rsidRPr="000D0717">
        <w:rPr>
          <w:rFonts w:ascii="Arial" w:hAnsi="Arial" w:cs="Arial"/>
          <w:b/>
          <w:sz w:val="24"/>
          <w:szCs w:val="24"/>
        </w:rPr>
        <w:lastRenderedPageBreak/>
        <w:t>Appendix A</w:t>
      </w:r>
      <w:bookmarkEnd w:id="4"/>
      <w:r w:rsidRPr="000D0717">
        <w:rPr>
          <w:rFonts w:ascii="Arial" w:hAnsi="Arial" w:cs="Arial"/>
          <w:b/>
          <w:sz w:val="24"/>
          <w:szCs w:val="24"/>
        </w:rPr>
        <w:t>:  Coding Resources</w:t>
      </w:r>
    </w:p>
    <w:p w14:paraId="749E7F02" w14:textId="77777777" w:rsidR="00083D80" w:rsidRPr="000D0717" w:rsidRDefault="00083D80" w:rsidP="00083D80">
      <w:pPr>
        <w:spacing w:line="240" w:lineRule="auto"/>
        <w:ind w:right="446"/>
        <w:jc w:val="both"/>
        <w:rPr>
          <w:rFonts w:ascii="Arial" w:hAnsi="Arial" w:cs="Arial"/>
          <w:b/>
          <w:sz w:val="24"/>
          <w:szCs w:val="24"/>
          <w:u w:val="single"/>
        </w:rPr>
      </w:pPr>
      <w:r w:rsidRPr="000D0717">
        <w:rPr>
          <w:rFonts w:ascii="Arial" w:hAnsi="Arial" w:cs="Arial"/>
          <w:b/>
          <w:sz w:val="24"/>
          <w:szCs w:val="24"/>
          <w:u w:val="single"/>
        </w:rPr>
        <w:t>Open Web Application Security Project (OWASP)</w:t>
      </w:r>
    </w:p>
    <w:p w14:paraId="3AD88DEF" w14:textId="6ED38DC8" w:rsidR="00083D80" w:rsidRPr="000D0717" w:rsidRDefault="00083D80" w:rsidP="00083D80">
      <w:pPr>
        <w:spacing w:line="240" w:lineRule="auto"/>
        <w:ind w:right="446"/>
        <w:jc w:val="both"/>
        <w:rPr>
          <w:rFonts w:ascii="Arial" w:hAnsi="Arial" w:cs="Arial"/>
          <w:sz w:val="24"/>
          <w:szCs w:val="24"/>
        </w:rPr>
      </w:pPr>
      <w:r w:rsidRPr="000D0717">
        <w:rPr>
          <w:rFonts w:ascii="Arial" w:hAnsi="Arial" w:cs="Arial"/>
          <w:sz w:val="24"/>
          <w:szCs w:val="24"/>
        </w:rPr>
        <w:t>The OWASP Top 10 is authored by OWASP, an open-source application security community project which aims to raise security awareness of web application security risks. Although OWASP is focused on web application security, the standards and controls presented by this organization are generally also applicable to non-</w:t>
      </w:r>
      <w:proofErr w:type="gramStart"/>
      <w:r w:rsidRPr="000D0717">
        <w:rPr>
          <w:rFonts w:ascii="Arial" w:hAnsi="Arial" w:cs="Arial"/>
          <w:sz w:val="24"/>
          <w:szCs w:val="24"/>
        </w:rPr>
        <w:t>web based</w:t>
      </w:r>
      <w:proofErr w:type="gramEnd"/>
      <w:r w:rsidRPr="000D0717">
        <w:rPr>
          <w:rFonts w:ascii="Arial" w:hAnsi="Arial" w:cs="Arial"/>
          <w:sz w:val="24"/>
          <w:szCs w:val="24"/>
        </w:rPr>
        <w:t xml:space="preserve"> information systems.</w:t>
      </w:r>
    </w:p>
    <w:p w14:paraId="7B1BCED7" w14:textId="44F31C6E" w:rsidR="00083D80" w:rsidRPr="000D0717" w:rsidRDefault="00083D80" w:rsidP="00083D80">
      <w:pPr>
        <w:spacing w:line="240" w:lineRule="auto"/>
        <w:ind w:right="446"/>
        <w:jc w:val="both"/>
        <w:rPr>
          <w:rFonts w:ascii="Arial" w:hAnsi="Arial" w:cs="Arial"/>
          <w:sz w:val="24"/>
          <w:szCs w:val="24"/>
        </w:rPr>
      </w:pPr>
      <w:r w:rsidRPr="000D0717">
        <w:rPr>
          <w:rFonts w:ascii="Arial" w:hAnsi="Arial" w:cs="Arial"/>
          <w:sz w:val="24"/>
          <w:szCs w:val="24"/>
        </w:rPr>
        <w:t xml:space="preserve">In addition to the “Top 10” list, OWASP also produces the </w:t>
      </w:r>
      <w:hyperlink r:id="rId20" w:anchor="tab=Home" w:history="1">
        <w:r w:rsidRPr="000D0717">
          <w:rPr>
            <w:rStyle w:val="Hyperlink"/>
            <w:rFonts w:ascii="Arial" w:hAnsi="Arial" w:cs="Arial"/>
            <w:sz w:val="24"/>
            <w:szCs w:val="24"/>
          </w:rPr>
          <w:t>Enterprise Security API (ESAPI) library</w:t>
        </w:r>
      </w:hyperlink>
      <w:r w:rsidRPr="000D0717">
        <w:rPr>
          <w:rFonts w:ascii="Arial" w:hAnsi="Arial" w:cs="Arial"/>
          <w:sz w:val="24"/>
          <w:szCs w:val="24"/>
        </w:rPr>
        <w:t xml:space="preserve"> and </w:t>
      </w:r>
      <w:hyperlink r:id="rId21" w:history="1">
        <w:r w:rsidRPr="000D0717">
          <w:rPr>
            <w:rStyle w:val="Hyperlink"/>
            <w:rFonts w:ascii="Arial" w:hAnsi="Arial" w:cs="Arial"/>
            <w:sz w:val="24"/>
            <w:szCs w:val="24"/>
          </w:rPr>
          <w:t>developer cheat sheets</w:t>
        </w:r>
      </w:hyperlink>
      <w:r w:rsidRPr="000D0717">
        <w:rPr>
          <w:rFonts w:ascii="Arial" w:hAnsi="Arial" w:cs="Arial"/>
          <w:sz w:val="24"/>
          <w:szCs w:val="24"/>
        </w:rPr>
        <w:t>. The ESAPI library is an open source, web application security control library designed to mitigate risks to web applications. The ESAPI library provides a framework to implement code to address the risks listed within the OWASP Top Ten project. The cheat sheets provide a concise collection of high value information on specific web application security topics.</w:t>
      </w:r>
    </w:p>
    <w:p w14:paraId="147B6A88" w14:textId="3D967BA8" w:rsidR="00083D80" w:rsidRPr="000D0717" w:rsidRDefault="00083D80" w:rsidP="00083D80">
      <w:pPr>
        <w:spacing w:line="240" w:lineRule="auto"/>
        <w:ind w:right="446"/>
        <w:jc w:val="both"/>
        <w:rPr>
          <w:rFonts w:ascii="Arial" w:hAnsi="Arial" w:cs="Arial"/>
          <w:b/>
          <w:sz w:val="24"/>
          <w:szCs w:val="24"/>
          <w:u w:val="single"/>
        </w:rPr>
      </w:pPr>
      <w:r w:rsidRPr="000D0717">
        <w:rPr>
          <w:rFonts w:ascii="Arial" w:hAnsi="Arial" w:cs="Arial"/>
          <w:sz w:val="24"/>
          <w:szCs w:val="24"/>
        </w:rPr>
        <w:t xml:space="preserve">Additional information regarding OWASP, the ESAPI library and the Top Ten project is available at </w:t>
      </w:r>
      <w:hyperlink r:id="rId22" w:history="1">
        <w:r w:rsidRPr="000D0717">
          <w:rPr>
            <w:rStyle w:val="Hyperlink"/>
            <w:rFonts w:ascii="Arial" w:hAnsi="Arial" w:cs="Arial"/>
            <w:sz w:val="24"/>
            <w:szCs w:val="24"/>
          </w:rPr>
          <w:t>https://www.owasp.org/</w:t>
        </w:r>
      </w:hyperlink>
      <w:r w:rsidRPr="000D0717">
        <w:rPr>
          <w:rFonts w:ascii="Arial" w:hAnsi="Arial" w:cs="Arial"/>
          <w:sz w:val="24"/>
          <w:szCs w:val="24"/>
        </w:rPr>
        <w:t>.</w:t>
      </w:r>
    </w:p>
    <w:p w14:paraId="5DB2AF02" w14:textId="77777777" w:rsidR="00083D80" w:rsidRPr="000D0717" w:rsidRDefault="00083D80" w:rsidP="00083D80">
      <w:pPr>
        <w:spacing w:line="240" w:lineRule="auto"/>
        <w:ind w:right="446"/>
        <w:jc w:val="both"/>
        <w:rPr>
          <w:rFonts w:ascii="Arial" w:hAnsi="Arial" w:cs="Arial"/>
          <w:b/>
          <w:sz w:val="24"/>
          <w:szCs w:val="24"/>
          <w:u w:val="single"/>
        </w:rPr>
      </w:pPr>
      <w:r w:rsidRPr="000D0717">
        <w:rPr>
          <w:rFonts w:ascii="Arial" w:hAnsi="Arial" w:cs="Arial"/>
          <w:b/>
          <w:sz w:val="24"/>
          <w:szCs w:val="24"/>
          <w:u w:val="single"/>
        </w:rPr>
        <w:t>Common Weakness Enumeration/SANS</w:t>
      </w:r>
    </w:p>
    <w:p w14:paraId="71A10F1C" w14:textId="5112B1C0" w:rsidR="00083D80" w:rsidRPr="000D0717" w:rsidRDefault="00083D80" w:rsidP="00083D80">
      <w:pPr>
        <w:spacing w:line="240" w:lineRule="auto"/>
        <w:ind w:right="446"/>
        <w:jc w:val="both"/>
        <w:rPr>
          <w:rFonts w:ascii="Arial" w:hAnsi="Arial" w:cs="Arial"/>
          <w:sz w:val="24"/>
          <w:szCs w:val="24"/>
        </w:rPr>
      </w:pPr>
      <w:r w:rsidRPr="000D0717">
        <w:rPr>
          <w:rFonts w:ascii="Arial" w:hAnsi="Arial" w:cs="Arial"/>
          <w:sz w:val="24"/>
          <w:szCs w:val="24"/>
        </w:rPr>
        <w:t>The CWE/SANS Top 25 Most Dangerous Software Errors publication is the result of collaboration between the SANS Institute, MITRE, and many top software security experts in the US and Europe. The publication is a list of the most widespread and critical errors that can lead to serious vulnerabilities in software. They are often easy to find, and easy to exploit. They are dangerous because they will frequently allow attackers to completely take over the software, steal data, or prevent the software from working at all.</w:t>
      </w:r>
    </w:p>
    <w:p w14:paraId="4ACD9F4E" w14:textId="77777777" w:rsidR="00083D80" w:rsidRPr="000D0717" w:rsidRDefault="00083D80" w:rsidP="00083D80">
      <w:pPr>
        <w:spacing w:line="240" w:lineRule="auto"/>
        <w:ind w:right="446"/>
        <w:jc w:val="both"/>
        <w:rPr>
          <w:rFonts w:ascii="Arial" w:hAnsi="Arial" w:cs="Arial"/>
          <w:sz w:val="24"/>
          <w:szCs w:val="24"/>
        </w:rPr>
      </w:pPr>
      <w:r w:rsidRPr="000D0717">
        <w:rPr>
          <w:rFonts w:ascii="Arial" w:hAnsi="Arial" w:cs="Arial"/>
          <w:sz w:val="24"/>
          <w:szCs w:val="24"/>
        </w:rPr>
        <w:t xml:space="preserve">The MITRE website provides detailed guidance to software programmers for mitigating and avoiding each of the common weaknesses enumerated within the Top 25 list with the </w:t>
      </w:r>
      <w:hyperlink r:id="rId23" w:history="1">
        <w:r w:rsidRPr="000D0717">
          <w:rPr>
            <w:rStyle w:val="Hyperlink"/>
            <w:rFonts w:ascii="Arial" w:hAnsi="Arial" w:cs="Arial"/>
            <w:sz w:val="24"/>
            <w:szCs w:val="24"/>
          </w:rPr>
          <w:t>Common Weakness Enumeration (CWE) List</w:t>
        </w:r>
      </w:hyperlink>
      <w:r w:rsidRPr="000D0717">
        <w:rPr>
          <w:rFonts w:ascii="Arial" w:hAnsi="Arial" w:cs="Arial"/>
          <w:sz w:val="24"/>
          <w:szCs w:val="24"/>
        </w:rPr>
        <w:t>.</w:t>
      </w:r>
    </w:p>
    <w:p w14:paraId="20A053C4" w14:textId="009F32B1" w:rsidR="00D57CFA" w:rsidRPr="00D62A1C" w:rsidRDefault="00D57CFA" w:rsidP="006264D2">
      <w:pPr>
        <w:spacing w:line="240" w:lineRule="auto"/>
        <w:ind w:right="446"/>
        <w:jc w:val="both"/>
        <w:rPr>
          <w:rFonts w:ascii="Arial" w:hAnsi="Arial" w:cs="Arial"/>
          <w:sz w:val="24"/>
          <w:szCs w:val="24"/>
        </w:rPr>
      </w:pPr>
      <w:bookmarkStart w:id="5" w:name="_GoBack"/>
      <w:bookmarkEnd w:id="5"/>
    </w:p>
    <w:sectPr w:rsidR="00D57CFA" w:rsidRPr="00D62A1C" w:rsidSect="00083D80">
      <w:headerReference w:type="even" r:id="rId24"/>
      <w:headerReference w:type="default" r:id="rId25"/>
      <w:footerReference w:type="default" r:id="rId26"/>
      <w:headerReference w:type="first" r:id="rId27"/>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F31DA" w14:textId="77777777" w:rsidR="008E450F" w:rsidRDefault="008E450F" w:rsidP="00D212FD">
      <w:pPr>
        <w:spacing w:after="0" w:line="240" w:lineRule="auto"/>
      </w:pPr>
      <w:r>
        <w:separator/>
      </w:r>
    </w:p>
  </w:endnote>
  <w:endnote w:type="continuationSeparator" w:id="0">
    <w:p w14:paraId="44C18509" w14:textId="77777777" w:rsidR="008E450F" w:rsidRDefault="008E450F" w:rsidP="00D212FD">
      <w:pPr>
        <w:spacing w:after="0" w:line="240" w:lineRule="auto"/>
      </w:pPr>
      <w:r>
        <w:continuationSeparator/>
      </w:r>
    </w:p>
  </w:endnote>
  <w:endnote w:type="continuationNotice" w:id="1">
    <w:p w14:paraId="1FA366B8" w14:textId="77777777" w:rsidR="008E450F" w:rsidRDefault="008E45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53CD" w14:textId="564DAAC2" w:rsidR="009B3197" w:rsidRPr="00A53240" w:rsidRDefault="00B57EE8" w:rsidP="00B56BA6">
    <w:pPr>
      <w:pStyle w:val="Footer"/>
      <w:rPr>
        <w:rFonts w:ascii="Arial" w:hAnsi="Arial" w:cs="Arial"/>
        <w:b/>
        <w:sz w:val="20"/>
        <w:szCs w:val="16"/>
      </w:rPr>
    </w:pPr>
    <w:r w:rsidRPr="00A53240">
      <w:rPr>
        <w:rFonts w:ascii="Arial" w:hAnsi="Arial" w:cs="Arial"/>
        <w:b/>
        <w:sz w:val="20"/>
        <w:szCs w:val="16"/>
      </w:rPr>
      <w:t>Secure Coding Standard</w:t>
    </w:r>
    <w:r w:rsidR="009B3197" w:rsidRPr="00A53240">
      <w:rPr>
        <w:rFonts w:ascii="Arial" w:hAnsi="Arial" w:cs="Arial"/>
        <w:b/>
        <w:sz w:val="20"/>
        <w:szCs w:val="16"/>
      </w:rPr>
      <w:tab/>
    </w:r>
    <w:r w:rsidR="009B3197" w:rsidRPr="00A53240">
      <w:rPr>
        <w:rFonts w:ascii="Arial" w:hAnsi="Arial" w:cs="Arial"/>
        <w:b/>
        <w:sz w:val="20"/>
        <w:szCs w:val="16"/>
      </w:rPr>
      <w:tab/>
      <w:t xml:space="preserve">Page </w:t>
    </w:r>
    <w:r w:rsidR="009B3197" w:rsidRPr="00A53240">
      <w:rPr>
        <w:rFonts w:ascii="Arial" w:hAnsi="Arial" w:cs="Arial"/>
        <w:b/>
        <w:sz w:val="20"/>
        <w:szCs w:val="16"/>
      </w:rPr>
      <w:fldChar w:fldCharType="begin"/>
    </w:r>
    <w:r w:rsidR="009B3197" w:rsidRPr="00A53240">
      <w:rPr>
        <w:rFonts w:ascii="Arial" w:hAnsi="Arial" w:cs="Arial"/>
        <w:b/>
        <w:sz w:val="20"/>
        <w:szCs w:val="16"/>
      </w:rPr>
      <w:instrText xml:space="preserve"> PAGE </w:instrText>
    </w:r>
    <w:r w:rsidR="009B3197" w:rsidRPr="00A53240">
      <w:rPr>
        <w:rFonts w:ascii="Arial" w:hAnsi="Arial" w:cs="Arial"/>
        <w:b/>
        <w:sz w:val="20"/>
        <w:szCs w:val="16"/>
      </w:rPr>
      <w:fldChar w:fldCharType="separate"/>
    </w:r>
    <w:r w:rsidR="00144B45" w:rsidRPr="00A53240">
      <w:rPr>
        <w:rFonts w:ascii="Arial" w:hAnsi="Arial" w:cs="Arial"/>
        <w:b/>
        <w:noProof/>
        <w:sz w:val="20"/>
        <w:szCs w:val="16"/>
      </w:rPr>
      <w:t>5</w:t>
    </w:r>
    <w:r w:rsidR="009B3197" w:rsidRPr="00A53240">
      <w:rPr>
        <w:rFonts w:ascii="Arial" w:hAnsi="Arial" w:cs="Arial"/>
        <w:b/>
        <w:sz w:val="20"/>
        <w:szCs w:val="16"/>
      </w:rPr>
      <w:fldChar w:fldCharType="end"/>
    </w:r>
    <w:r w:rsidR="009B3197" w:rsidRPr="00A53240">
      <w:rPr>
        <w:rFonts w:ascii="Arial" w:hAnsi="Arial" w:cs="Arial"/>
        <w:b/>
        <w:sz w:val="20"/>
        <w:szCs w:val="16"/>
      </w:rPr>
      <w:t xml:space="preserve"> of </w:t>
    </w:r>
    <w:r w:rsidR="009B3197" w:rsidRPr="00A53240">
      <w:rPr>
        <w:rFonts w:ascii="Arial" w:hAnsi="Arial" w:cs="Arial"/>
        <w:b/>
        <w:sz w:val="20"/>
        <w:szCs w:val="16"/>
      </w:rPr>
      <w:fldChar w:fldCharType="begin"/>
    </w:r>
    <w:r w:rsidR="009B3197" w:rsidRPr="00A53240">
      <w:rPr>
        <w:rFonts w:ascii="Arial" w:hAnsi="Arial" w:cs="Arial"/>
        <w:b/>
        <w:sz w:val="20"/>
        <w:szCs w:val="16"/>
      </w:rPr>
      <w:instrText xml:space="preserve"> SECTIONPAGES  </w:instrText>
    </w:r>
    <w:r w:rsidR="009B3197" w:rsidRPr="00A53240">
      <w:rPr>
        <w:rFonts w:ascii="Arial" w:hAnsi="Arial" w:cs="Arial"/>
        <w:b/>
        <w:sz w:val="20"/>
        <w:szCs w:val="16"/>
      </w:rPr>
      <w:fldChar w:fldCharType="separate"/>
    </w:r>
    <w:r w:rsidR="00890FE2">
      <w:rPr>
        <w:rFonts w:ascii="Arial" w:hAnsi="Arial" w:cs="Arial"/>
        <w:b/>
        <w:noProof/>
        <w:sz w:val="20"/>
        <w:szCs w:val="16"/>
      </w:rPr>
      <w:t>3</w:t>
    </w:r>
    <w:r w:rsidR="009B3197" w:rsidRPr="00A53240">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E6D6" w14:textId="22B40A1E" w:rsidR="009B3197" w:rsidRPr="00890FE2" w:rsidRDefault="009B3197" w:rsidP="00B56BA6">
    <w:pPr>
      <w:pStyle w:val="Footer"/>
      <w:rPr>
        <w:rFonts w:ascii="Arial" w:hAnsi="Arial" w:cs="Arial"/>
        <w:b/>
        <w:sz w:val="20"/>
        <w:szCs w:val="16"/>
      </w:rPr>
    </w:pPr>
    <w:r w:rsidRPr="00890FE2">
      <w:rPr>
        <w:rFonts w:ascii="Arial" w:hAnsi="Arial" w:cs="Arial"/>
        <w:b/>
        <w:sz w:val="20"/>
        <w:szCs w:val="16"/>
      </w:rPr>
      <w:t>Appendix A</w:t>
    </w:r>
    <w:r w:rsidRPr="00890FE2">
      <w:rPr>
        <w:rFonts w:ascii="Arial" w:hAnsi="Arial" w:cs="Arial"/>
        <w:b/>
        <w:sz w:val="20"/>
        <w:szCs w:val="16"/>
      </w:rPr>
      <w:tab/>
    </w:r>
    <w:r w:rsidRPr="00890FE2">
      <w:rPr>
        <w:rFonts w:ascii="Arial" w:hAnsi="Arial" w:cs="Arial"/>
        <w:b/>
        <w:sz w:val="20"/>
        <w:szCs w:val="16"/>
      </w:rPr>
      <w:tab/>
      <w:t xml:space="preserve">Page </w:t>
    </w:r>
    <w:r w:rsidRPr="00890FE2">
      <w:rPr>
        <w:rFonts w:ascii="Arial" w:hAnsi="Arial" w:cs="Arial"/>
        <w:b/>
        <w:sz w:val="20"/>
        <w:szCs w:val="16"/>
      </w:rPr>
      <w:fldChar w:fldCharType="begin"/>
    </w:r>
    <w:r w:rsidRPr="00890FE2">
      <w:rPr>
        <w:rFonts w:ascii="Arial" w:hAnsi="Arial" w:cs="Arial"/>
        <w:b/>
        <w:sz w:val="20"/>
        <w:szCs w:val="16"/>
      </w:rPr>
      <w:instrText xml:space="preserve"> PAGE </w:instrText>
    </w:r>
    <w:r w:rsidRPr="00890FE2">
      <w:rPr>
        <w:rFonts w:ascii="Arial" w:hAnsi="Arial" w:cs="Arial"/>
        <w:b/>
        <w:sz w:val="20"/>
        <w:szCs w:val="16"/>
      </w:rPr>
      <w:fldChar w:fldCharType="separate"/>
    </w:r>
    <w:r w:rsidR="00144B45" w:rsidRPr="00890FE2">
      <w:rPr>
        <w:rFonts w:ascii="Arial" w:hAnsi="Arial" w:cs="Arial"/>
        <w:b/>
        <w:noProof/>
        <w:sz w:val="20"/>
        <w:szCs w:val="16"/>
      </w:rPr>
      <w:t>1</w:t>
    </w:r>
    <w:r w:rsidRPr="00890FE2">
      <w:rPr>
        <w:rFonts w:ascii="Arial" w:hAnsi="Arial" w:cs="Arial"/>
        <w:b/>
        <w:sz w:val="20"/>
        <w:szCs w:val="16"/>
      </w:rPr>
      <w:fldChar w:fldCharType="end"/>
    </w:r>
    <w:r w:rsidRPr="00890FE2">
      <w:rPr>
        <w:rFonts w:ascii="Arial" w:hAnsi="Arial" w:cs="Arial"/>
        <w:b/>
        <w:sz w:val="20"/>
        <w:szCs w:val="16"/>
      </w:rPr>
      <w:t xml:space="preserve"> of </w:t>
    </w:r>
    <w:r w:rsidRPr="00890FE2">
      <w:rPr>
        <w:rFonts w:ascii="Arial" w:hAnsi="Arial" w:cs="Arial"/>
        <w:b/>
        <w:sz w:val="20"/>
        <w:szCs w:val="16"/>
      </w:rPr>
      <w:fldChar w:fldCharType="begin"/>
    </w:r>
    <w:r w:rsidRPr="00890FE2">
      <w:rPr>
        <w:rFonts w:ascii="Arial" w:hAnsi="Arial" w:cs="Arial"/>
        <w:b/>
        <w:sz w:val="20"/>
        <w:szCs w:val="16"/>
      </w:rPr>
      <w:instrText xml:space="preserve"> SECTIONPAGES  </w:instrText>
    </w:r>
    <w:r w:rsidRPr="00890FE2">
      <w:rPr>
        <w:rFonts w:ascii="Arial" w:hAnsi="Arial" w:cs="Arial"/>
        <w:b/>
        <w:sz w:val="20"/>
        <w:szCs w:val="16"/>
      </w:rPr>
      <w:fldChar w:fldCharType="separate"/>
    </w:r>
    <w:r w:rsidR="00890FE2">
      <w:rPr>
        <w:rFonts w:ascii="Arial" w:hAnsi="Arial" w:cs="Arial"/>
        <w:b/>
        <w:noProof/>
        <w:sz w:val="20"/>
        <w:szCs w:val="16"/>
      </w:rPr>
      <w:t>1</w:t>
    </w:r>
    <w:r w:rsidRPr="00890FE2">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486EF" w14:textId="77777777" w:rsidR="008E450F" w:rsidRDefault="008E450F" w:rsidP="00D212FD">
      <w:pPr>
        <w:spacing w:after="0" w:line="240" w:lineRule="auto"/>
      </w:pPr>
      <w:r>
        <w:separator/>
      </w:r>
    </w:p>
  </w:footnote>
  <w:footnote w:type="continuationSeparator" w:id="0">
    <w:p w14:paraId="0A25D04F" w14:textId="77777777" w:rsidR="008E450F" w:rsidRDefault="008E450F" w:rsidP="00D212FD">
      <w:pPr>
        <w:spacing w:after="0" w:line="240" w:lineRule="auto"/>
      </w:pPr>
      <w:r>
        <w:continuationSeparator/>
      </w:r>
    </w:p>
  </w:footnote>
  <w:footnote w:type="continuationNotice" w:id="1">
    <w:p w14:paraId="2B3E1090" w14:textId="77777777" w:rsidR="008E450F" w:rsidRDefault="008E45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53D0" w14:textId="01D60DBF" w:rsidR="009B3197" w:rsidRDefault="009B3197" w:rsidP="00D57CFA">
    <w:pPr>
      <w:pStyle w:val="Header"/>
    </w:pPr>
  </w:p>
  <w:p w14:paraId="20A053D1" w14:textId="77777777" w:rsidR="009B3197" w:rsidRDefault="009B3197" w:rsidP="00D57CFA">
    <w:pPr>
      <w:pStyle w:val="Header"/>
    </w:pPr>
  </w:p>
  <w:p w14:paraId="20A053D2" w14:textId="77777777" w:rsidR="009B3197" w:rsidRDefault="009B3197" w:rsidP="00D57CFA">
    <w:pPr>
      <w:pStyle w:val="Header"/>
    </w:pPr>
  </w:p>
  <w:p w14:paraId="20A053D3" w14:textId="77777777" w:rsidR="009B3197" w:rsidRDefault="009B3197" w:rsidP="00D57CFA">
    <w:pPr>
      <w:pStyle w:val="Header"/>
      <w:tabs>
        <w:tab w:val="clear" w:pos="9360"/>
        <w:tab w:val="left" w:pos="990"/>
        <w:tab w:val="right" w:pos="10080"/>
      </w:tabs>
    </w:pPr>
    <w:r>
      <w:tab/>
    </w:r>
  </w:p>
  <w:p w14:paraId="20A053D4" w14:textId="4F83919E" w:rsidR="009B3197" w:rsidRDefault="009B3197" w:rsidP="00D57CFA">
    <w:pPr>
      <w:pStyle w:val="Header"/>
    </w:pPr>
  </w:p>
  <w:p w14:paraId="20A053D5" w14:textId="77777777" w:rsidR="009B3197" w:rsidRDefault="009B3197" w:rsidP="00D57CFA">
    <w:pPr>
      <w:pStyle w:val="Header"/>
      <w:tabs>
        <w:tab w:val="clear" w:pos="4680"/>
        <w:tab w:val="clear" w:pos="9360"/>
        <w:tab w:val="left" w:pos="7125"/>
      </w:tabs>
    </w:pPr>
    <w:r>
      <w:tab/>
    </w:r>
  </w:p>
  <w:p w14:paraId="20A053D6" w14:textId="77777777" w:rsidR="009B3197" w:rsidRDefault="009B3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CF1CA" w14:textId="2F9C44F0" w:rsidR="00C45A7B" w:rsidRDefault="00C45A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6D1D8" w14:textId="190D6629" w:rsidR="00C45A7B" w:rsidRDefault="00C45A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CE227" w14:textId="76E0F823" w:rsidR="00C45A7B" w:rsidRDefault="00C45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8"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2"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786CBC"/>
    <w:multiLevelType w:val="hybridMultilevel"/>
    <w:tmpl w:val="60262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28"/>
  </w:num>
  <w:num w:numId="5">
    <w:abstractNumId w:val="9"/>
  </w:num>
  <w:num w:numId="6">
    <w:abstractNumId w:val="13"/>
  </w:num>
  <w:num w:numId="7">
    <w:abstractNumId w:val="17"/>
  </w:num>
  <w:num w:numId="8">
    <w:abstractNumId w:val="22"/>
  </w:num>
  <w:num w:numId="9">
    <w:abstractNumId w:val="18"/>
  </w:num>
  <w:num w:numId="10">
    <w:abstractNumId w:val="23"/>
  </w:num>
  <w:num w:numId="11">
    <w:abstractNumId w:val="10"/>
  </w:num>
  <w:num w:numId="12">
    <w:abstractNumId w:val="16"/>
  </w:num>
  <w:num w:numId="13">
    <w:abstractNumId w:val="21"/>
  </w:num>
  <w:num w:numId="14">
    <w:abstractNumId w:val="27"/>
  </w:num>
  <w:num w:numId="15">
    <w:abstractNumId w:val="19"/>
  </w:num>
  <w:num w:numId="16">
    <w:abstractNumId w:val="26"/>
  </w:num>
  <w:num w:numId="17">
    <w:abstractNumId w:val="12"/>
  </w:num>
  <w:num w:numId="18">
    <w:abstractNumId w:val="3"/>
  </w:num>
  <w:num w:numId="19">
    <w:abstractNumId w:val="14"/>
  </w:num>
  <w:num w:numId="20">
    <w:abstractNumId w:val="4"/>
  </w:num>
  <w:num w:numId="21">
    <w:abstractNumId w:val="25"/>
  </w:num>
  <w:num w:numId="22">
    <w:abstractNumId w:val="0"/>
  </w:num>
  <w:num w:numId="23">
    <w:abstractNumId w:val="15"/>
  </w:num>
  <w:num w:numId="24">
    <w:abstractNumId w:val="11"/>
  </w:num>
  <w:num w:numId="25">
    <w:abstractNumId w:val="5"/>
  </w:num>
  <w:num w:numId="26">
    <w:abstractNumId w:val="19"/>
  </w:num>
  <w:num w:numId="27">
    <w:abstractNumId w:val="2"/>
  </w:num>
  <w:num w:numId="28">
    <w:abstractNumId w:val="20"/>
  </w:num>
  <w:num w:numId="29">
    <w:abstractNumId w:val="20"/>
  </w:num>
  <w:num w:numId="30">
    <w:abstractNumId w:val="1"/>
  </w:num>
  <w:num w:numId="31">
    <w:abstractNumId w:val="2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AE"/>
    <w:rsid w:val="00000C72"/>
    <w:rsid w:val="00004B71"/>
    <w:rsid w:val="000059B7"/>
    <w:rsid w:val="00007B41"/>
    <w:rsid w:val="00015FE5"/>
    <w:rsid w:val="00025AD3"/>
    <w:rsid w:val="0003290F"/>
    <w:rsid w:val="0004473F"/>
    <w:rsid w:val="00051F4B"/>
    <w:rsid w:val="00064308"/>
    <w:rsid w:val="000649E1"/>
    <w:rsid w:val="00067349"/>
    <w:rsid w:val="00067BF2"/>
    <w:rsid w:val="00076673"/>
    <w:rsid w:val="00083D80"/>
    <w:rsid w:val="0008459D"/>
    <w:rsid w:val="00095A86"/>
    <w:rsid w:val="00097E7D"/>
    <w:rsid w:val="000A30FC"/>
    <w:rsid w:val="000A5E15"/>
    <w:rsid w:val="000A7712"/>
    <w:rsid w:val="000B22CE"/>
    <w:rsid w:val="000C785D"/>
    <w:rsid w:val="000C7EC9"/>
    <w:rsid w:val="000D0717"/>
    <w:rsid w:val="000D0DD2"/>
    <w:rsid w:val="000D27DE"/>
    <w:rsid w:val="000E004A"/>
    <w:rsid w:val="000E1B8F"/>
    <w:rsid w:val="000E2AB1"/>
    <w:rsid w:val="000E5F2D"/>
    <w:rsid w:val="000E6322"/>
    <w:rsid w:val="000E7EFD"/>
    <w:rsid w:val="000E7F04"/>
    <w:rsid w:val="000F003B"/>
    <w:rsid w:val="000F21A2"/>
    <w:rsid w:val="000F7D83"/>
    <w:rsid w:val="00102B2E"/>
    <w:rsid w:val="00105B79"/>
    <w:rsid w:val="00107913"/>
    <w:rsid w:val="0011412A"/>
    <w:rsid w:val="0011587C"/>
    <w:rsid w:val="00120224"/>
    <w:rsid w:val="00132D40"/>
    <w:rsid w:val="00132EED"/>
    <w:rsid w:val="00134AC2"/>
    <w:rsid w:val="00144B45"/>
    <w:rsid w:val="00152995"/>
    <w:rsid w:val="00160066"/>
    <w:rsid w:val="001608BB"/>
    <w:rsid w:val="00165B78"/>
    <w:rsid w:val="00175B22"/>
    <w:rsid w:val="00176FD3"/>
    <w:rsid w:val="0018190B"/>
    <w:rsid w:val="00192CC3"/>
    <w:rsid w:val="001A0541"/>
    <w:rsid w:val="001A3862"/>
    <w:rsid w:val="001A3EED"/>
    <w:rsid w:val="001A6527"/>
    <w:rsid w:val="001B13D9"/>
    <w:rsid w:val="001B207D"/>
    <w:rsid w:val="001B335C"/>
    <w:rsid w:val="001B401D"/>
    <w:rsid w:val="001C0D8B"/>
    <w:rsid w:val="001C5A71"/>
    <w:rsid w:val="001D7A64"/>
    <w:rsid w:val="001E1B0C"/>
    <w:rsid w:val="001F609C"/>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1452D"/>
    <w:rsid w:val="0031592B"/>
    <w:rsid w:val="00323CC4"/>
    <w:rsid w:val="00324177"/>
    <w:rsid w:val="003316AB"/>
    <w:rsid w:val="00331C8A"/>
    <w:rsid w:val="003367FD"/>
    <w:rsid w:val="00337DA9"/>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2BC2"/>
    <w:rsid w:val="003E3F86"/>
    <w:rsid w:val="003F099F"/>
    <w:rsid w:val="003F1C55"/>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75BC"/>
    <w:rsid w:val="004A12D4"/>
    <w:rsid w:val="004A6140"/>
    <w:rsid w:val="004B746E"/>
    <w:rsid w:val="004C2511"/>
    <w:rsid w:val="004E15AB"/>
    <w:rsid w:val="004E17BE"/>
    <w:rsid w:val="004E1B35"/>
    <w:rsid w:val="004E1BB5"/>
    <w:rsid w:val="004E34BF"/>
    <w:rsid w:val="004E5C74"/>
    <w:rsid w:val="004F2476"/>
    <w:rsid w:val="00510902"/>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A3051"/>
    <w:rsid w:val="005A633B"/>
    <w:rsid w:val="005B231E"/>
    <w:rsid w:val="005B6A55"/>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63DF5"/>
    <w:rsid w:val="0077680E"/>
    <w:rsid w:val="00786A33"/>
    <w:rsid w:val="007911F9"/>
    <w:rsid w:val="00791DDF"/>
    <w:rsid w:val="00794C38"/>
    <w:rsid w:val="007A618C"/>
    <w:rsid w:val="007B261E"/>
    <w:rsid w:val="007B45AC"/>
    <w:rsid w:val="007B7F24"/>
    <w:rsid w:val="007C694B"/>
    <w:rsid w:val="007C77C2"/>
    <w:rsid w:val="007D0680"/>
    <w:rsid w:val="007E11D6"/>
    <w:rsid w:val="007E20A4"/>
    <w:rsid w:val="007E4717"/>
    <w:rsid w:val="007E7864"/>
    <w:rsid w:val="007F2158"/>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0FE2"/>
    <w:rsid w:val="008923AA"/>
    <w:rsid w:val="00896333"/>
    <w:rsid w:val="008B070D"/>
    <w:rsid w:val="008B1DFB"/>
    <w:rsid w:val="008B788C"/>
    <w:rsid w:val="008C0F7E"/>
    <w:rsid w:val="008C1421"/>
    <w:rsid w:val="008C42D9"/>
    <w:rsid w:val="008C69E4"/>
    <w:rsid w:val="008D4AC6"/>
    <w:rsid w:val="008E450F"/>
    <w:rsid w:val="008E5B0D"/>
    <w:rsid w:val="008E7EC2"/>
    <w:rsid w:val="008F345E"/>
    <w:rsid w:val="008F3568"/>
    <w:rsid w:val="00901413"/>
    <w:rsid w:val="00903F1D"/>
    <w:rsid w:val="00905776"/>
    <w:rsid w:val="009066E8"/>
    <w:rsid w:val="00910BDB"/>
    <w:rsid w:val="00910FD5"/>
    <w:rsid w:val="00911AA8"/>
    <w:rsid w:val="00932A1C"/>
    <w:rsid w:val="00934CF3"/>
    <w:rsid w:val="00941C0A"/>
    <w:rsid w:val="009434E7"/>
    <w:rsid w:val="00953454"/>
    <w:rsid w:val="00956FAE"/>
    <w:rsid w:val="0095758B"/>
    <w:rsid w:val="00964E05"/>
    <w:rsid w:val="00966FED"/>
    <w:rsid w:val="0096705E"/>
    <w:rsid w:val="00972985"/>
    <w:rsid w:val="00980D68"/>
    <w:rsid w:val="00992E88"/>
    <w:rsid w:val="009953F8"/>
    <w:rsid w:val="009A1AAA"/>
    <w:rsid w:val="009A309F"/>
    <w:rsid w:val="009B3197"/>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255D0"/>
    <w:rsid w:val="00A40466"/>
    <w:rsid w:val="00A45BFE"/>
    <w:rsid w:val="00A4759F"/>
    <w:rsid w:val="00A52081"/>
    <w:rsid w:val="00A53240"/>
    <w:rsid w:val="00A5423D"/>
    <w:rsid w:val="00A543BD"/>
    <w:rsid w:val="00A548BB"/>
    <w:rsid w:val="00A549DD"/>
    <w:rsid w:val="00A563FD"/>
    <w:rsid w:val="00A647B7"/>
    <w:rsid w:val="00A6783D"/>
    <w:rsid w:val="00A706B2"/>
    <w:rsid w:val="00A71828"/>
    <w:rsid w:val="00A73B6C"/>
    <w:rsid w:val="00A75A29"/>
    <w:rsid w:val="00A77647"/>
    <w:rsid w:val="00A96DF2"/>
    <w:rsid w:val="00AA5669"/>
    <w:rsid w:val="00AB1AED"/>
    <w:rsid w:val="00AB44CE"/>
    <w:rsid w:val="00AB77FE"/>
    <w:rsid w:val="00AC6959"/>
    <w:rsid w:val="00AD178E"/>
    <w:rsid w:val="00AD65E3"/>
    <w:rsid w:val="00AE7C26"/>
    <w:rsid w:val="00AF069C"/>
    <w:rsid w:val="00AF46E6"/>
    <w:rsid w:val="00AF4EA8"/>
    <w:rsid w:val="00B00E5C"/>
    <w:rsid w:val="00B011A2"/>
    <w:rsid w:val="00B01DD3"/>
    <w:rsid w:val="00B05A44"/>
    <w:rsid w:val="00B10410"/>
    <w:rsid w:val="00B12297"/>
    <w:rsid w:val="00B2044B"/>
    <w:rsid w:val="00B34139"/>
    <w:rsid w:val="00B40CAF"/>
    <w:rsid w:val="00B41D2A"/>
    <w:rsid w:val="00B42064"/>
    <w:rsid w:val="00B56BA6"/>
    <w:rsid w:val="00B57EE8"/>
    <w:rsid w:val="00B660B5"/>
    <w:rsid w:val="00B70E50"/>
    <w:rsid w:val="00B71042"/>
    <w:rsid w:val="00B73649"/>
    <w:rsid w:val="00B74892"/>
    <w:rsid w:val="00B80787"/>
    <w:rsid w:val="00B80A67"/>
    <w:rsid w:val="00BA4997"/>
    <w:rsid w:val="00BB00F8"/>
    <w:rsid w:val="00BC0E64"/>
    <w:rsid w:val="00BC3852"/>
    <w:rsid w:val="00BC4D98"/>
    <w:rsid w:val="00BC720C"/>
    <w:rsid w:val="00BE0736"/>
    <w:rsid w:val="00BF128E"/>
    <w:rsid w:val="00BF200D"/>
    <w:rsid w:val="00BF7697"/>
    <w:rsid w:val="00C063C2"/>
    <w:rsid w:val="00C23014"/>
    <w:rsid w:val="00C23DE6"/>
    <w:rsid w:val="00C427B2"/>
    <w:rsid w:val="00C44080"/>
    <w:rsid w:val="00C4456F"/>
    <w:rsid w:val="00C45A7B"/>
    <w:rsid w:val="00C507E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212FD"/>
    <w:rsid w:val="00D328C7"/>
    <w:rsid w:val="00D502FB"/>
    <w:rsid w:val="00D57CFA"/>
    <w:rsid w:val="00D62A1C"/>
    <w:rsid w:val="00D66285"/>
    <w:rsid w:val="00D712AA"/>
    <w:rsid w:val="00D80277"/>
    <w:rsid w:val="00D913E5"/>
    <w:rsid w:val="00D95237"/>
    <w:rsid w:val="00DA4CF4"/>
    <w:rsid w:val="00DA580C"/>
    <w:rsid w:val="00DA6A93"/>
    <w:rsid w:val="00DA6CC2"/>
    <w:rsid w:val="00DB2FE1"/>
    <w:rsid w:val="00DC5A2B"/>
    <w:rsid w:val="00DC62A7"/>
    <w:rsid w:val="00DC6D67"/>
    <w:rsid w:val="00DC7FB7"/>
    <w:rsid w:val="00DD48DC"/>
    <w:rsid w:val="00DE0E1A"/>
    <w:rsid w:val="00DE2FD9"/>
    <w:rsid w:val="00DE42EF"/>
    <w:rsid w:val="00DE7A01"/>
    <w:rsid w:val="00DF1C4A"/>
    <w:rsid w:val="00DF1E03"/>
    <w:rsid w:val="00DF2B2B"/>
    <w:rsid w:val="00E05156"/>
    <w:rsid w:val="00E06155"/>
    <w:rsid w:val="00E06C7D"/>
    <w:rsid w:val="00E144C5"/>
    <w:rsid w:val="00E16F14"/>
    <w:rsid w:val="00E21592"/>
    <w:rsid w:val="00E21871"/>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C7875"/>
    <w:rsid w:val="00ED03EB"/>
    <w:rsid w:val="00EE333F"/>
    <w:rsid w:val="00EE52BB"/>
    <w:rsid w:val="00EF0203"/>
    <w:rsid w:val="00EF78DB"/>
    <w:rsid w:val="00F027B4"/>
    <w:rsid w:val="00F11664"/>
    <w:rsid w:val="00F118FB"/>
    <w:rsid w:val="00F21071"/>
    <w:rsid w:val="00F274B4"/>
    <w:rsid w:val="00F3027D"/>
    <w:rsid w:val="00F3304A"/>
    <w:rsid w:val="00F5315B"/>
    <w:rsid w:val="00F5658D"/>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0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083D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083D8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wasp.org/index.php/Category:OWASP_Top_Ten_Project" TargetMode="External"/><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owasp.org/index.php/Cheat_Sheets" TargetMode="External"/><Relationship Id="rId7" Type="http://schemas.openxmlformats.org/officeDocument/2006/relationships/settings" Target="settings.xml"/><Relationship Id="rId12" Type="http://schemas.openxmlformats.org/officeDocument/2006/relationships/hyperlink" Target="http://cwe.mitre.org/top25/" TargetMode="External"/><Relationship Id="rId17" Type="http://schemas.openxmlformats.org/officeDocument/2006/relationships/hyperlink" Target="http://cwe.mitre.org/data/index.htm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cwe.mitre.org/top25/" TargetMode="External"/><Relationship Id="rId20" Type="http://schemas.openxmlformats.org/officeDocument/2006/relationships/hyperlink" Target="https://www.owasp.org/index.php/Category:OWASP_Enterprise_Security_AP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wasp.org/index.php/Category:OWASP_Top_Ten_Project"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owasp.org/index.php/Category:OWASP_Enterprise_Security_API" TargetMode="External"/><Relationship Id="rId23" Type="http://schemas.openxmlformats.org/officeDocument/2006/relationships/hyperlink" Target="http://cwe.mitre.org/data/index.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wasp.org/index.php/Cheat_Sheets" TargetMode="External"/><Relationship Id="rId22" Type="http://schemas.openxmlformats.org/officeDocument/2006/relationships/hyperlink" Target="https://www.owasp.org/" TargetMode="External"/><Relationship Id="rId27"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purl.org/dc/elements/1.1/"/>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d55d704a-e129-4533-884d-54f902f3d1b0"/>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5FAC63C-EDBF-4601-8E37-0DD41FD85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2019-11-04T18:21:00Z</dcterms:created>
  <dcterms:modified xsi:type="dcterms:W3CDTF">2020-06-15T14:44:00Z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