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22A4F1B4"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4F3593">
              <w:rPr>
                <w:rFonts w:ascii="Arial" w:hAnsi="Arial" w:cs="Arial"/>
                <w:b/>
                <w:sz w:val="24"/>
                <w:szCs w:val="40"/>
              </w:rPr>
              <w:t>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5B07D89D" w:rsidR="00CC3316" w:rsidRPr="00A75C2A" w:rsidRDefault="00752E82" w:rsidP="00752E82">
            <w:pPr>
              <w:spacing w:after="0" w:line="240" w:lineRule="auto"/>
              <w:jc w:val="center"/>
              <w:rPr>
                <w:rFonts w:ascii="Arial" w:hAnsi="Arial" w:cs="Arial"/>
                <w:b/>
                <w:sz w:val="40"/>
                <w:szCs w:val="40"/>
              </w:rPr>
            </w:pPr>
            <w:r>
              <w:rPr>
                <w:rFonts w:ascii="Arial" w:hAnsi="Arial" w:cs="Arial"/>
                <w:b/>
                <w:sz w:val="40"/>
                <w:szCs w:val="40"/>
              </w:rPr>
              <w:t>Incident Response</w:t>
            </w:r>
          </w:p>
        </w:tc>
        <w:tc>
          <w:tcPr>
            <w:tcW w:w="4837" w:type="dxa"/>
            <w:vAlign w:val="center"/>
          </w:tcPr>
          <w:p w14:paraId="3D389F70" w14:textId="4A51CC04"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4C3AC9">
              <w:rPr>
                <w:rFonts w:ascii="Arial" w:hAnsi="Arial" w:cs="Arial"/>
                <w:bCs/>
                <w:noProof/>
                <w:sz w:val="24"/>
              </w:rPr>
              <w:t>10/26/2024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22D4C867" w14:textId="77777777" w:rsidR="00BB0850" w:rsidRDefault="00BB0850" w:rsidP="00BB0850">
      <w:pPr>
        <w:pStyle w:val="ParagraphSections"/>
      </w:pPr>
      <w:r w:rsidRPr="00BB0850">
        <w:t>The purpose of this policy is to establish a clear and structured approach for identifying, containing, investigating, remedying, reporting, and responding to computer security incidents within the organization. By outlining specific responsibilities and processes for incident response, the policy aims to ensure that all employees, contractors, and third-party vendors can effectively address security threats, thereby minimizing potential damage to the organization’s information assets. This framework not only promotes a proactive stance toward cybersecurity but also fosters a culture of awareness and readiness among all stakeholders.</w:t>
      </w:r>
      <w:r>
        <w:t xml:space="preserve"> </w:t>
      </w:r>
    </w:p>
    <w:p w14:paraId="44333B7E" w14:textId="37F09018" w:rsidR="00BB0850" w:rsidRDefault="00BB0850" w:rsidP="00BB0850">
      <w:pPr>
        <w:pStyle w:val="ParagraphSections"/>
        <w:rPr>
          <w:b/>
        </w:rPr>
      </w:pPr>
      <w:r w:rsidRPr="00BB0850">
        <w:t>Implementing this policy provides several key benefits, including enhanced organizational resilience against cyber threats, improved incident response efficiency, and greater protection of sensitive information. By establishing standardized procedures and roles for incident response, the organization can reduce the time taken to detect and mitigate security incidents, thereby limiting operational disruption and potential financial losses. Additionally, regular training, testing, and incorporation of lessons learned foster continuous improvement in the organization’s cybersecurity posture. Ultimately, this policy not only safeguards information assets but also reinforces stakeholder confidence in the organization’s commitment to cybersecurity.</w:t>
      </w:r>
    </w:p>
    <w:p w14:paraId="07A3C879" w14:textId="5C27483E"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435541BD"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rPr>
              <w:rFonts w:ascii="Arial" w:hAnsi="Arial" w:cs="Arial"/>
              <w:sz w:val="24"/>
              <w:szCs w:val="24"/>
            </w:rPr>
            <w:t>[</w:t>
          </w:r>
          <w:r w:rsidR="00D16FE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This policy applies to all employees, contractors, third-party vendors, and any individuals or entities accessing, using, or managing the organization's information systems, </w:t>
      </w:r>
      <w:r w:rsidRPr="0041714C">
        <w:rPr>
          <w:rFonts w:ascii="Arial" w:hAnsi="Arial" w:cs="Arial"/>
          <w:sz w:val="24"/>
          <w:szCs w:val="24"/>
        </w:rPr>
        <w:lastRenderedPageBreak/>
        <w:t>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0680E8F6" w14:textId="13432B14" w:rsidR="00752E82" w:rsidRDefault="00752E82" w:rsidP="00A92A22">
      <w:pPr>
        <w:pStyle w:val="Heading1"/>
        <w:rPr>
          <w:color w:val="auto"/>
        </w:rPr>
      </w:pPr>
      <w:bookmarkStart w:id="3" w:name="_Hlk180849249"/>
      <w:r>
        <w:rPr>
          <w:color w:val="auto"/>
        </w:rPr>
        <w:t>4</w:t>
      </w:r>
      <w:r w:rsidRPr="001F6975">
        <w:rPr>
          <w:color w:val="auto"/>
        </w:rPr>
        <w:t xml:space="preserve">.0 </w:t>
      </w:r>
      <w:r>
        <w:rPr>
          <w:color w:val="auto"/>
        </w:rPr>
        <w:t>Information Statement</w:t>
      </w:r>
      <w:bookmarkEnd w:id="3"/>
    </w:p>
    <w:p w14:paraId="52C0243F" w14:textId="31E18753" w:rsidR="00BB0850" w:rsidRPr="00752E82" w:rsidRDefault="00BB0850" w:rsidP="00752E82">
      <w:pPr>
        <w:pStyle w:val="ParagraphSections"/>
      </w:pPr>
      <w:r w:rsidRPr="00BB0850">
        <w:t xml:space="preserve">This policy outlines the framework for effectively managing computer security incidents within the organization. It defines the roles and responsibilities of all stakeholders involved in the incident response process, ensuring clarity and accountability. The policy establishes procedures for identifying, containing, investigating, remedying, reporting, and responding to security incidents, guided by best practices from the National Institute of Standards and Technology (NIST) Cybersecurity Framework 2.0. By adopting this structured approach, the organization aims to enhance its cybersecurity posture, protect sensitive information assets, and promote a culture of security awareness among all employees, contractors, and third-party vendors. Compliance with this policy is essential to ensure a coordinated response to incidents, minimize potential </w:t>
      </w:r>
      <w:proofErr w:type="gramStart"/>
      <w:r w:rsidRPr="00BB0850">
        <w:t>damages</w:t>
      </w:r>
      <w:proofErr w:type="gramEnd"/>
      <w:r w:rsidRPr="00BB0850">
        <w:t>, and continuously improve the organization's incident response capabilities.</w:t>
      </w:r>
    </w:p>
    <w:p w14:paraId="732FABE4" w14:textId="39755850" w:rsidR="00752E82" w:rsidRDefault="00752E82" w:rsidP="00752E82">
      <w:pPr>
        <w:pStyle w:val="InfoSections"/>
      </w:pPr>
      <w:r w:rsidRPr="00752E82">
        <w:t>Incident Response Policy</w:t>
      </w:r>
    </w:p>
    <w:p w14:paraId="1CA2AAB8" w14:textId="449EC7D7" w:rsidR="00752E82" w:rsidRPr="00752E82" w:rsidRDefault="00752E82" w:rsidP="00752E82">
      <w:pPr>
        <w:pStyle w:val="ParagraphSections"/>
      </w:pPr>
      <w:sdt>
        <w:sdtPr>
          <w:alias w:val="Organization Name"/>
          <w:tag w:val="Organization Name"/>
          <w:id w:val="-268163313"/>
          <w:placeholder>
            <w:docPart w:val="DC6DB760D6ED4CC493499A67DEAF44C4"/>
          </w:placeholder>
          <w:showingPlcHdr/>
          <w:dataBinding w:prefixMappings="xmlns:ns0='http://DocumentContentControl.htm' " w:xpath="/ns0:DocumentContentControl[1]/ns0:OrganizationName[1]" w:storeItemID="{29C4647F-0984-4EA0-BA29-908A06C1BEAF}"/>
          <w:text/>
        </w:sdtPr>
        <w:sdtContent>
          <w:r w:rsidRPr="00752E82">
            <w:t>[</w:t>
          </w:r>
          <w:r w:rsidRPr="00752E82">
            <w:rPr>
              <w:rStyle w:val="PlaceholderText"/>
              <w:color w:val="auto"/>
            </w:rPr>
            <w:t>Organization Name]</w:t>
          </w:r>
        </w:sdtContent>
      </w:sdt>
      <w:r w:rsidRPr="00752E82">
        <w:t xml:space="preserve"> shall:</w:t>
      </w:r>
    </w:p>
    <w:p w14:paraId="07ADB9E4" w14:textId="5E0C3B1B" w:rsidR="00752E82" w:rsidRDefault="005464B5" w:rsidP="005464B5">
      <w:pPr>
        <w:pStyle w:val="Bullets"/>
        <w:numPr>
          <w:ilvl w:val="0"/>
          <w:numId w:val="93"/>
        </w:numPr>
      </w:pPr>
      <w:r w:rsidRPr="005464B5">
        <w:t>Provide incident response training to information system users consistent with assigned roles and responsibilities:</w:t>
      </w:r>
    </w:p>
    <w:p w14:paraId="3A1FAC08" w14:textId="77777777" w:rsidR="005464B5" w:rsidRDefault="005464B5" w:rsidP="005464B5">
      <w:pPr>
        <w:pStyle w:val="Bullets"/>
        <w:numPr>
          <w:ilvl w:val="1"/>
          <w:numId w:val="93"/>
        </w:numPr>
      </w:pPr>
      <w:r>
        <w:t xml:space="preserve">Within [entity defined </w:t>
      </w:r>
      <w:proofErr w:type="gramStart"/>
      <w:r>
        <w:t>time period</w:t>
      </w:r>
      <w:proofErr w:type="gramEnd"/>
      <w:r>
        <w:t>] of assuming an incident response role or responsibility.</w:t>
      </w:r>
    </w:p>
    <w:p w14:paraId="3BF621B0" w14:textId="6C179362" w:rsidR="005464B5" w:rsidRDefault="005464B5" w:rsidP="005464B5">
      <w:pPr>
        <w:pStyle w:val="Bullets"/>
        <w:numPr>
          <w:ilvl w:val="1"/>
          <w:numId w:val="93"/>
        </w:numPr>
      </w:pPr>
      <w:r>
        <w:t>When required by information system changes, and [entity defined frequency] thereafter.</w:t>
      </w:r>
    </w:p>
    <w:p w14:paraId="445AFDAF" w14:textId="77777777" w:rsidR="005464B5" w:rsidRDefault="005464B5" w:rsidP="005464B5">
      <w:pPr>
        <w:pStyle w:val="Bullets"/>
        <w:numPr>
          <w:ilvl w:val="0"/>
          <w:numId w:val="93"/>
        </w:numPr>
      </w:pPr>
      <w:r>
        <w:lastRenderedPageBreak/>
        <w:t>Incorporate simulated events into incident response training to facilitate effective response by personnel in crisis situations.</w:t>
      </w:r>
    </w:p>
    <w:p w14:paraId="7147BF44" w14:textId="71C2F0B9" w:rsidR="005464B5" w:rsidRDefault="005464B5" w:rsidP="005464B5">
      <w:pPr>
        <w:pStyle w:val="Bullets"/>
        <w:numPr>
          <w:ilvl w:val="0"/>
          <w:numId w:val="93"/>
        </w:numPr>
      </w:pPr>
      <w:r>
        <w:t>Employ automated mechanisms to provide a more thorough and realistic incident response training environment.</w:t>
      </w:r>
    </w:p>
    <w:p w14:paraId="485D121B" w14:textId="44B93720" w:rsidR="005464B5" w:rsidRDefault="005464B5" w:rsidP="005464B5">
      <w:pPr>
        <w:pStyle w:val="InfoSections"/>
      </w:pPr>
      <w:r w:rsidRPr="005464B5">
        <w:t>Incident Response Testing</w:t>
      </w:r>
    </w:p>
    <w:p w14:paraId="03DAAFBF" w14:textId="77777777" w:rsidR="005464B5" w:rsidRPr="00752E82" w:rsidRDefault="005464B5" w:rsidP="005464B5">
      <w:pPr>
        <w:pStyle w:val="ParagraphSections"/>
      </w:pPr>
      <w:sdt>
        <w:sdtPr>
          <w:alias w:val="Organization Name"/>
          <w:tag w:val="Organization Name"/>
          <w:id w:val="-1613276819"/>
          <w:placeholder>
            <w:docPart w:val="2FEAEB1EE625403499D50D5964014C39"/>
          </w:placeholder>
          <w:showingPlcHdr/>
          <w:dataBinding w:prefixMappings="xmlns:ns0='http://DocumentContentControl.htm' " w:xpath="/ns0:DocumentContentControl[1]/ns0:OrganizationName[1]" w:storeItemID="{29C4647F-0984-4EA0-BA29-908A06C1BEAF}"/>
          <w:text/>
        </w:sdtPr>
        <w:sdtContent>
          <w:r w:rsidRPr="00752E82">
            <w:t>[</w:t>
          </w:r>
          <w:r w:rsidRPr="00752E82">
            <w:rPr>
              <w:rStyle w:val="PlaceholderText"/>
              <w:color w:val="auto"/>
            </w:rPr>
            <w:t>Organization Name]</w:t>
          </w:r>
        </w:sdtContent>
      </w:sdt>
      <w:r w:rsidRPr="00752E82">
        <w:t xml:space="preserve"> shall:</w:t>
      </w:r>
    </w:p>
    <w:p w14:paraId="793481DA" w14:textId="77777777" w:rsidR="005464B5" w:rsidRDefault="005464B5" w:rsidP="005464B5">
      <w:pPr>
        <w:pStyle w:val="Bullets"/>
        <w:numPr>
          <w:ilvl w:val="0"/>
          <w:numId w:val="94"/>
        </w:numPr>
      </w:pPr>
      <w:r>
        <w:t xml:space="preserve">Test the incident response capability for the information system [entity defined frequency] using [Assignment: entity defined tests] to determine the incident response effectiveness and </w:t>
      </w:r>
      <w:proofErr w:type="gramStart"/>
      <w:r>
        <w:t>documents</w:t>
      </w:r>
      <w:proofErr w:type="gramEnd"/>
      <w:r>
        <w:t xml:space="preserve"> the results.</w:t>
      </w:r>
    </w:p>
    <w:p w14:paraId="3587C0B2" w14:textId="6E668253" w:rsidR="005464B5" w:rsidRDefault="005464B5" w:rsidP="005464B5">
      <w:pPr>
        <w:pStyle w:val="Bullets"/>
        <w:numPr>
          <w:ilvl w:val="0"/>
          <w:numId w:val="94"/>
        </w:numPr>
      </w:pPr>
      <w:r>
        <w:t>Coordinate incident response testing with entity contacts responsible for related plans such as Business Continuity Plans, Contingency Plans, Disaster Recovery Plans, Continuity of Operations Plans, Crisis Communications Plans, Critical Infrastructure Plans, and Occupant Emergency Plans.</w:t>
      </w:r>
    </w:p>
    <w:p w14:paraId="359F8678" w14:textId="530A48C3" w:rsidR="005464B5" w:rsidRDefault="005464B5" w:rsidP="005464B5">
      <w:pPr>
        <w:pStyle w:val="InfoSections"/>
      </w:pPr>
      <w:r w:rsidRPr="005464B5">
        <w:t>Incident Handling</w:t>
      </w:r>
    </w:p>
    <w:p w14:paraId="4145AC65" w14:textId="7B7709BE" w:rsidR="005464B5" w:rsidRDefault="005464B5" w:rsidP="005464B5">
      <w:pPr>
        <w:pStyle w:val="ParagraphSections"/>
      </w:pPr>
      <w:sdt>
        <w:sdtPr>
          <w:alias w:val="Organization Name"/>
          <w:tag w:val="Organization Name"/>
          <w:id w:val="-1847164467"/>
          <w:placeholder>
            <w:docPart w:val="C1458B347676411EBB5019A98D439E2A"/>
          </w:placeholder>
          <w:showingPlcHdr/>
          <w:dataBinding w:prefixMappings="xmlns:ns0='http://DocumentContentControl.htm' " w:xpath="/ns0:DocumentContentControl[1]/ns0:OrganizationName[1]" w:storeItemID="{29C4647F-0984-4EA0-BA29-908A06C1BEAF}"/>
          <w:text/>
        </w:sdtPr>
        <w:sdtContent>
          <w:r w:rsidRPr="00752E82">
            <w:t>[</w:t>
          </w:r>
          <w:r w:rsidRPr="00752E82">
            <w:rPr>
              <w:rStyle w:val="PlaceholderText"/>
              <w:color w:val="auto"/>
            </w:rPr>
            <w:t>Organization Name]</w:t>
          </w:r>
        </w:sdtContent>
      </w:sdt>
      <w:r w:rsidRPr="00752E82">
        <w:t xml:space="preserve"> shall:</w:t>
      </w:r>
    </w:p>
    <w:p w14:paraId="7F95D0CA" w14:textId="77777777" w:rsidR="006F1554" w:rsidRDefault="006F1554" w:rsidP="006F1554">
      <w:pPr>
        <w:pStyle w:val="Bullets"/>
        <w:numPr>
          <w:ilvl w:val="0"/>
          <w:numId w:val="95"/>
        </w:numPr>
      </w:pPr>
      <w:r>
        <w:t xml:space="preserve">Implement an incident handling capability for security incidents that </w:t>
      </w:r>
      <w:proofErr w:type="gramStart"/>
      <w:r>
        <w:t>includes</w:t>
      </w:r>
      <w:proofErr w:type="gramEnd"/>
      <w:r>
        <w:t xml:space="preserve"> preparation, detection and analysis, containment, eradication, and recovery.</w:t>
      </w:r>
    </w:p>
    <w:p w14:paraId="3177E1E0" w14:textId="77777777" w:rsidR="006F1554" w:rsidRDefault="006F1554" w:rsidP="006F1554">
      <w:pPr>
        <w:pStyle w:val="Bullets"/>
        <w:numPr>
          <w:ilvl w:val="0"/>
          <w:numId w:val="95"/>
        </w:numPr>
      </w:pPr>
      <w:r>
        <w:t>Coordinate incident handling activities with contingency planning activities.</w:t>
      </w:r>
    </w:p>
    <w:p w14:paraId="4600041B" w14:textId="5F211807" w:rsidR="006F1554" w:rsidRDefault="006F1554" w:rsidP="006F1554">
      <w:pPr>
        <w:pStyle w:val="Bullets"/>
        <w:numPr>
          <w:ilvl w:val="0"/>
          <w:numId w:val="95"/>
        </w:numPr>
      </w:pPr>
      <w:r>
        <w:t xml:space="preserve">Incorporate lessons learned from ongoing incident handling activities into incident response procedures, training, and testing/exercises, and </w:t>
      </w:r>
      <w:proofErr w:type="gramStart"/>
      <w:r>
        <w:t>implements</w:t>
      </w:r>
      <w:proofErr w:type="gramEnd"/>
      <w:r>
        <w:t xml:space="preserve"> the resulting changes accordingly.</w:t>
      </w:r>
    </w:p>
    <w:p w14:paraId="30B8AEEA" w14:textId="71BADA9F" w:rsidR="006F1554" w:rsidRDefault="006F1554" w:rsidP="006F1554">
      <w:pPr>
        <w:pStyle w:val="InfoSections"/>
      </w:pPr>
      <w:r w:rsidRPr="006F1554">
        <w:t>Incident Monitoring</w:t>
      </w:r>
    </w:p>
    <w:p w14:paraId="59C61EE9" w14:textId="7E5CE7E6" w:rsidR="006F1554" w:rsidRDefault="006F1554" w:rsidP="006F1554">
      <w:pPr>
        <w:pStyle w:val="ParagraphSections"/>
      </w:pPr>
      <w:sdt>
        <w:sdtPr>
          <w:alias w:val="Organization Name"/>
          <w:tag w:val="Organization Name"/>
          <w:id w:val="-425186902"/>
          <w:placeholder>
            <w:docPart w:val="F7D30099D5F2465FA368C254491510DC"/>
          </w:placeholder>
          <w:showingPlcHdr/>
          <w:dataBinding w:prefixMappings="xmlns:ns0='http://DocumentContentControl.htm' " w:xpath="/ns0:DocumentContentControl[1]/ns0:OrganizationName[1]" w:storeItemID="{29C4647F-0984-4EA0-BA29-908A06C1BEAF}"/>
          <w:text/>
        </w:sdtPr>
        <w:sdtContent>
          <w:r w:rsidRPr="00752E82">
            <w:t>[</w:t>
          </w:r>
          <w:r w:rsidRPr="00752E82">
            <w:rPr>
              <w:rStyle w:val="PlaceholderText"/>
              <w:color w:val="auto"/>
            </w:rPr>
            <w:t>Organization Name]</w:t>
          </w:r>
        </w:sdtContent>
      </w:sdt>
      <w:r w:rsidRPr="00752E82">
        <w:t xml:space="preserve"> shall</w:t>
      </w:r>
      <w:r>
        <w:t xml:space="preserve"> e</w:t>
      </w:r>
      <w:r w:rsidRPr="006F1554">
        <w:t>mploy automated mechanisms to assist in the tracking of security incidents and in the collection and analysis of incident information.</w:t>
      </w:r>
    </w:p>
    <w:p w14:paraId="0EAAD3A8" w14:textId="1AEEAC38" w:rsidR="006F1554" w:rsidRDefault="006F1554" w:rsidP="006F1554">
      <w:pPr>
        <w:pStyle w:val="InfoSections"/>
      </w:pPr>
      <w:r>
        <w:t>Incident Reporting</w:t>
      </w:r>
    </w:p>
    <w:p w14:paraId="596E6174" w14:textId="1BB531F8" w:rsidR="006F1554" w:rsidRDefault="006F1554" w:rsidP="006F1554">
      <w:pPr>
        <w:pStyle w:val="ParagraphSections"/>
      </w:pPr>
      <w:sdt>
        <w:sdtPr>
          <w:alias w:val="Organization Name"/>
          <w:tag w:val="Organization Name"/>
          <w:id w:val="2093897536"/>
          <w:placeholder>
            <w:docPart w:val="6E40EA701F054BF4B24156A4F213A586"/>
          </w:placeholder>
          <w:showingPlcHdr/>
          <w:dataBinding w:prefixMappings="xmlns:ns0='http://DocumentContentControl.htm' " w:xpath="/ns0:DocumentContentControl[1]/ns0:OrganizationName[1]" w:storeItemID="{29C4647F-0984-4EA0-BA29-908A06C1BEAF}"/>
          <w:text/>
        </w:sdtPr>
        <w:sdtContent>
          <w:r w:rsidRPr="00752E82">
            <w:t>[</w:t>
          </w:r>
          <w:r w:rsidRPr="00752E82">
            <w:rPr>
              <w:rStyle w:val="PlaceholderText"/>
              <w:color w:val="auto"/>
            </w:rPr>
            <w:t>Organization Name]</w:t>
          </w:r>
        </w:sdtContent>
      </w:sdt>
      <w:r w:rsidRPr="00752E82">
        <w:t xml:space="preserve"> shall</w:t>
      </w:r>
      <w:r>
        <w:t>:</w:t>
      </w:r>
    </w:p>
    <w:p w14:paraId="308BEEED" w14:textId="77777777" w:rsidR="006F1554" w:rsidRDefault="006F1554" w:rsidP="006F1554">
      <w:pPr>
        <w:pStyle w:val="Bullets"/>
        <w:numPr>
          <w:ilvl w:val="0"/>
          <w:numId w:val="96"/>
        </w:numPr>
      </w:pPr>
      <w:r>
        <w:t xml:space="preserve">Require personnel to report suspected security incidents to the incident response capability within [entity defined </w:t>
      </w:r>
      <w:proofErr w:type="gramStart"/>
      <w:r>
        <w:t>time period</w:t>
      </w:r>
      <w:proofErr w:type="gramEnd"/>
      <w:r>
        <w:t>].</w:t>
      </w:r>
    </w:p>
    <w:p w14:paraId="385ABCF9" w14:textId="0359CF72" w:rsidR="006F1554" w:rsidRDefault="006F1554" w:rsidP="006F1554">
      <w:pPr>
        <w:pStyle w:val="Bullets"/>
        <w:numPr>
          <w:ilvl w:val="0"/>
          <w:numId w:val="96"/>
        </w:numPr>
      </w:pPr>
      <w:r>
        <w:t>Report security incident information to [entity defined authorities].</w:t>
      </w:r>
    </w:p>
    <w:p w14:paraId="79F56332" w14:textId="1B3A5985" w:rsidR="006F1554" w:rsidRDefault="006F1554" w:rsidP="006F1554">
      <w:pPr>
        <w:pStyle w:val="InfoSections"/>
      </w:pPr>
      <w:r w:rsidRPr="006F1554">
        <w:t>Incident Response Assistance</w:t>
      </w:r>
    </w:p>
    <w:p w14:paraId="3920053D" w14:textId="77777777" w:rsidR="006F1554" w:rsidRDefault="006F1554" w:rsidP="006F1554">
      <w:pPr>
        <w:pStyle w:val="ParagraphSections"/>
      </w:pPr>
      <w:sdt>
        <w:sdtPr>
          <w:alias w:val="Organization Name"/>
          <w:tag w:val="Organization Name"/>
          <w:id w:val="1682081583"/>
          <w:placeholder>
            <w:docPart w:val="2706E1C32AFB454685F7437664E83356"/>
          </w:placeholder>
          <w:showingPlcHdr/>
          <w:dataBinding w:prefixMappings="xmlns:ns0='http://DocumentContentControl.htm' " w:xpath="/ns0:DocumentContentControl[1]/ns0:OrganizationName[1]" w:storeItemID="{29C4647F-0984-4EA0-BA29-908A06C1BEAF}"/>
          <w:text/>
        </w:sdtPr>
        <w:sdtContent>
          <w:r w:rsidRPr="00752E82">
            <w:t>[</w:t>
          </w:r>
          <w:r w:rsidRPr="00752E82">
            <w:rPr>
              <w:rStyle w:val="PlaceholderText"/>
              <w:color w:val="auto"/>
            </w:rPr>
            <w:t>Organization Name]</w:t>
          </w:r>
        </w:sdtContent>
      </w:sdt>
      <w:r w:rsidRPr="00752E82">
        <w:t xml:space="preserve"> shall</w:t>
      </w:r>
      <w:r>
        <w:t>:</w:t>
      </w:r>
    </w:p>
    <w:p w14:paraId="75D793C1" w14:textId="399E73B2" w:rsidR="006F1554" w:rsidRDefault="006F1554" w:rsidP="006F1554">
      <w:pPr>
        <w:pStyle w:val="Bullets"/>
        <w:numPr>
          <w:ilvl w:val="0"/>
          <w:numId w:val="97"/>
        </w:numPr>
      </w:pPr>
      <w:r w:rsidRPr="006F1554">
        <w:t>Develop an incident response plan that:</w:t>
      </w:r>
    </w:p>
    <w:p w14:paraId="53BBA1B1" w14:textId="77777777" w:rsidR="006F1554" w:rsidRDefault="006F1554" w:rsidP="006F1554">
      <w:pPr>
        <w:pStyle w:val="Bullets"/>
        <w:numPr>
          <w:ilvl w:val="1"/>
          <w:numId w:val="97"/>
        </w:numPr>
      </w:pPr>
      <w:r>
        <w:t>Provides the entity with a roadmap for implementing its incident response capability.</w:t>
      </w:r>
    </w:p>
    <w:p w14:paraId="6036F650" w14:textId="77777777" w:rsidR="006F1554" w:rsidRDefault="006F1554" w:rsidP="006F1554">
      <w:pPr>
        <w:pStyle w:val="Bullets"/>
        <w:numPr>
          <w:ilvl w:val="1"/>
          <w:numId w:val="97"/>
        </w:numPr>
      </w:pPr>
      <w:r>
        <w:lastRenderedPageBreak/>
        <w:t>Describes the structure of the incident response capability.</w:t>
      </w:r>
    </w:p>
    <w:p w14:paraId="3794544C" w14:textId="77777777" w:rsidR="006F1554" w:rsidRDefault="006F1554" w:rsidP="006F1554">
      <w:pPr>
        <w:pStyle w:val="Bullets"/>
        <w:numPr>
          <w:ilvl w:val="1"/>
          <w:numId w:val="97"/>
        </w:numPr>
      </w:pPr>
      <w:r>
        <w:t>Provides a high-level approach for how the incident response capability fits into the overall entity.</w:t>
      </w:r>
    </w:p>
    <w:p w14:paraId="5072BD67" w14:textId="77777777" w:rsidR="006F1554" w:rsidRDefault="006F1554" w:rsidP="006F1554">
      <w:pPr>
        <w:pStyle w:val="Bullets"/>
        <w:numPr>
          <w:ilvl w:val="1"/>
          <w:numId w:val="97"/>
        </w:numPr>
      </w:pPr>
      <w:r>
        <w:t>Meets the unique requirements of the entity, which relate to mission, size, structure, and functions.</w:t>
      </w:r>
    </w:p>
    <w:p w14:paraId="5CD8F16E" w14:textId="77777777" w:rsidR="006F1554" w:rsidRDefault="006F1554" w:rsidP="006F1554">
      <w:pPr>
        <w:pStyle w:val="Bullets"/>
        <w:numPr>
          <w:ilvl w:val="1"/>
          <w:numId w:val="97"/>
        </w:numPr>
      </w:pPr>
      <w:r>
        <w:t>Defines reportable incidents.</w:t>
      </w:r>
    </w:p>
    <w:p w14:paraId="09B30113" w14:textId="77777777" w:rsidR="006F1554" w:rsidRDefault="006F1554" w:rsidP="006F1554">
      <w:pPr>
        <w:pStyle w:val="Bullets"/>
        <w:numPr>
          <w:ilvl w:val="1"/>
          <w:numId w:val="97"/>
        </w:numPr>
      </w:pPr>
      <w:r>
        <w:t>Provides metrics for measuring the incident response capability within the entity.</w:t>
      </w:r>
    </w:p>
    <w:p w14:paraId="333CEFE6" w14:textId="77777777" w:rsidR="006F1554" w:rsidRDefault="006F1554" w:rsidP="006F1554">
      <w:pPr>
        <w:pStyle w:val="Bullets"/>
        <w:numPr>
          <w:ilvl w:val="1"/>
          <w:numId w:val="97"/>
        </w:numPr>
      </w:pPr>
      <w:r>
        <w:t>Defines the resources and management support needed to effectively maintain and mature an incident response capability.</w:t>
      </w:r>
    </w:p>
    <w:p w14:paraId="0A38133C" w14:textId="43CC14A9" w:rsidR="006F1554" w:rsidRDefault="006F1554" w:rsidP="006F1554">
      <w:pPr>
        <w:pStyle w:val="Bullets"/>
        <w:numPr>
          <w:ilvl w:val="1"/>
          <w:numId w:val="97"/>
        </w:numPr>
      </w:pPr>
      <w:proofErr w:type="gramStart"/>
      <w:r>
        <w:t>Is</w:t>
      </w:r>
      <w:proofErr w:type="gramEnd"/>
      <w:r>
        <w:t xml:space="preserve"> reviewed and approved by [entity defined personnel or roles].</w:t>
      </w:r>
    </w:p>
    <w:p w14:paraId="66B5B50E" w14:textId="77777777" w:rsidR="006F1554" w:rsidRDefault="006F1554" w:rsidP="006F1554">
      <w:pPr>
        <w:pStyle w:val="Bullets"/>
        <w:numPr>
          <w:ilvl w:val="0"/>
          <w:numId w:val="97"/>
        </w:numPr>
      </w:pPr>
      <w:r>
        <w:t>Distribute copies of the incident response plan to [entity defined incident response personnel (identified by name and/or by role)].</w:t>
      </w:r>
    </w:p>
    <w:p w14:paraId="63EFD843" w14:textId="77777777" w:rsidR="006F1554" w:rsidRDefault="006F1554" w:rsidP="006F1554">
      <w:pPr>
        <w:pStyle w:val="Bullets"/>
        <w:numPr>
          <w:ilvl w:val="0"/>
          <w:numId w:val="97"/>
        </w:numPr>
      </w:pPr>
      <w:r>
        <w:t>Review the incident response plan [entity defined frequency].</w:t>
      </w:r>
    </w:p>
    <w:p w14:paraId="03487E0D" w14:textId="77777777" w:rsidR="006F1554" w:rsidRDefault="006F1554" w:rsidP="006F1554">
      <w:pPr>
        <w:pStyle w:val="Bullets"/>
        <w:numPr>
          <w:ilvl w:val="0"/>
          <w:numId w:val="97"/>
        </w:numPr>
      </w:pPr>
      <w:r>
        <w:t>Update the incident response plan to address system changes or problems encountered during plan implementation, execution, or testing.</w:t>
      </w:r>
    </w:p>
    <w:p w14:paraId="0F1867EE" w14:textId="77777777" w:rsidR="006F1554" w:rsidRDefault="006F1554" w:rsidP="006F1554">
      <w:pPr>
        <w:pStyle w:val="Bullets"/>
        <w:numPr>
          <w:ilvl w:val="0"/>
          <w:numId w:val="97"/>
        </w:numPr>
      </w:pPr>
      <w:r>
        <w:t>Communicate incident response plan changes to [entity defined incident response personnel (identified by name and/or by role)].</w:t>
      </w:r>
    </w:p>
    <w:p w14:paraId="39EACFB4" w14:textId="3657D993" w:rsidR="006F1554" w:rsidRDefault="006F1554" w:rsidP="006F1554">
      <w:pPr>
        <w:pStyle w:val="Bullets"/>
        <w:numPr>
          <w:ilvl w:val="0"/>
          <w:numId w:val="97"/>
        </w:numPr>
      </w:pPr>
      <w:r>
        <w:t>Protect the incident response plan from unauthorized disclosure and modification.</w:t>
      </w:r>
    </w:p>
    <w:p w14:paraId="3C81F238" w14:textId="13643E10"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4"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lastRenderedPageBreak/>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C51C3C">
        <w:tc>
          <w:tcPr>
            <w:tcW w:w="1189" w:type="pct"/>
          </w:tcPr>
          <w:p w14:paraId="0BAB0C93" w14:textId="77777777"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77777777"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5"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6"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5"/>
    <w:bookmarkEnd w:id="6"/>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4"/>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401890B0" w14:textId="08C46F84" w:rsidR="008F142C" w:rsidRDefault="008F142C" w:rsidP="008F142C">
      <w:pPr>
        <w:pStyle w:val="ParagraphSections"/>
      </w:pPr>
      <w:r>
        <w:fldChar w:fldCharType="begin"/>
      </w:r>
      <w:r>
        <w:instrText>HYPERLINK "https://csrc.nist.gov/pubs/sp/800/61/r2/final"</w:instrText>
      </w:r>
      <w:r>
        <w:fldChar w:fldCharType="separate"/>
      </w:r>
      <w:r w:rsidRPr="008F142C">
        <w:rPr>
          <w:rStyle w:val="Hyperlink"/>
        </w:rPr>
        <w:t>National Institute of Standards and Technology (NIST) S</w:t>
      </w:r>
      <w:r>
        <w:rPr>
          <w:rStyle w:val="Hyperlink"/>
        </w:rPr>
        <w:t>P</w:t>
      </w:r>
      <w:r w:rsidRPr="008F142C">
        <w:rPr>
          <w:rStyle w:val="Hyperlink"/>
        </w:rPr>
        <w:t>: 800-61 - Computer Security Incident Handling Guide</w:t>
      </w:r>
      <w:r>
        <w:fldChar w:fldCharType="end"/>
      </w:r>
    </w:p>
    <w:p w14:paraId="05D4FAA2" w14:textId="7D4DCF85" w:rsidR="008F142C" w:rsidRDefault="008F142C" w:rsidP="008F142C">
      <w:pPr>
        <w:pStyle w:val="ParagraphSections"/>
      </w:pPr>
      <w:hyperlink r:id="rId11" w:history="1">
        <w:r w:rsidRPr="008F142C">
          <w:rPr>
            <w:rStyle w:val="Hyperlink"/>
          </w:rPr>
          <w:t>National Institute of Standards and Technology (NIST) S</w:t>
        </w:r>
        <w:r>
          <w:rPr>
            <w:rStyle w:val="Hyperlink"/>
          </w:rPr>
          <w:t>P</w:t>
        </w:r>
        <w:r w:rsidRPr="008F142C">
          <w:rPr>
            <w:rStyle w:val="Hyperlink"/>
          </w:rPr>
          <w:t>: 800-</w:t>
        </w:r>
        <w:r>
          <w:rPr>
            <w:rStyle w:val="Hyperlink"/>
          </w:rPr>
          <w:t>50</w:t>
        </w:r>
        <w:r w:rsidRPr="008F142C">
          <w:rPr>
            <w:rStyle w:val="Hyperlink"/>
          </w:rPr>
          <w:t xml:space="preserve"> - Building a Cybersecurity and Privacy Learning Program</w:t>
        </w:r>
      </w:hyperlink>
    </w:p>
    <w:p w14:paraId="187BC76D" w14:textId="54B11F6A" w:rsidR="008F142C" w:rsidRDefault="008F142C" w:rsidP="00CA284F">
      <w:pPr>
        <w:pStyle w:val="ParagraphSections"/>
        <w:rPr>
          <w:rStyle w:val="Hyperlink"/>
        </w:rPr>
      </w:pPr>
      <w:hyperlink r:id="rId12" w:history="1">
        <w:r w:rsidRPr="008F142C">
          <w:rPr>
            <w:rStyle w:val="Hyperlink"/>
          </w:rPr>
          <w:t>National Institute of Standards and Technology (NIST) S</w:t>
        </w:r>
        <w:r>
          <w:rPr>
            <w:rStyle w:val="Hyperlink"/>
          </w:rPr>
          <w:t>P</w:t>
        </w:r>
        <w:r w:rsidRPr="008F142C">
          <w:rPr>
            <w:rStyle w:val="Hyperlink"/>
          </w:rPr>
          <w:t>: 800-</w:t>
        </w:r>
        <w:r>
          <w:rPr>
            <w:rStyle w:val="Hyperlink"/>
          </w:rPr>
          <w:t>84</w:t>
        </w:r>
        <w:r w:rsidRPr="008F142C">
          <w:rPr>
            <w:rStyle w:val="Hyperlink"/>
          </w:rPr>
          <w:t xml:space="preserve"> - Guide to Test, Training, and Exercise Programs for IT Plans and Capabilities</w:t>
        </w:r>
      </w:hyperlink>
    </w:p>
    <w:p w14:paraId="135371AF" w14:textId="199EA40F" w:rsidR="006F1554" w:rsidRPr="001C04B4" w:rsidRDefault="006F1554" w:rsidP="006F1554">
      <w:pPr>
        <w:rPr>
          <w:rFonts w:ascii="Arial" w:hAnsi="Arial" w:cs="Arial"/>
          <w:sz w:val="24"/>
          <w:szCs w:val="24"/>
        </w:rPr>
      </w:pPr>
      <w:hyperlink r:id="rId13" w:history="1">
        <w:r w:rsidRPr="006F1554">
          <w:rPr>
            <w:rStyle w:val="Hyperlink"/>
            <w:rFonts w:ascii="Arial" w:hAnsi="Arial" w:cs="Arial"/>
            <w:sz w:val="24"/>
            <w:szCs w:val="24"/>
          </w:rPr>
          <w:t>National Institute of Standards and Technology (NIST) SP: 800-</w:t>
        </w:r>
        <w:r w:rsidRPr="006F1554">
          <w:rPr>
            <w:rStyle w:val="Hyperlink"/>
            <w:rFonts w:ascii="Arial" w:hAnsi="Arial" w:cs="Arial"/>
            <w:sz w:val="24"/>
            <w:szCs w:val="24"/>
          </w:rPr>
          <w:t>53</w:t>
        </w:r>
        <w:r w:rsidRPr="006F1554">
          <w:rPr>
            <w:rStyle w:val="Hyperlink"/>
            <w:rFonts w:ascii="Arial" w:hAnsi="Arial" w:cs="Arial"/>
            <w:sz w:val="24"/>
            <w:szCs w:val="24"/>
          </w:rPr>
          <w:t xml:space="preserve"> - Security and Privacy Controls for Information Systems and Organizations</w:t>
        </w:r>
      </w:hyperlink>
    </w:p>
    <w:p w14:paraId="1130DD61" w14:textId="4F6871FF" w:rsidR="006F1554" w:rsidRPr="00CA284F" w:rsidRDefault="006F1554" w:rsidP="00CA284F">
      <w:pPr>
        <w:pStyle w:val="ParagraphSections"/>
      </w:pPr>
      <w:hyperlink r:id="rId14" w:history="1">
        <w:r w:rsidRPr="006F1554">
          <w:rPr>
            <w:rStyle w:val="Hyperlink"/>
          </w:rPr>
          <w:t>National Institute of Standards and Technology (NIST) SP: 800-</w:t>
        </w:r>
        <w:r w:rsidRPr="006F1554">
          <w:rPr>
            <w:rStyle w:val="Hyperlink"/>
          </w:rPr>
          <w:t>92</w:t>
        </w:r>
        <w:r w:rsidRPr="006F1554">
          <w:rPr>
            <w:rStyle w:val="Hyperlink"/>
          </w:rPr>
          <w:t xml:space="preserve"> - Guide to Computer Security Log Management</w:t>
        </w:r>
      </w:hyperlink>
    </w:p>
    <w:sectPr w:rsidR="006F1554" w:rsidRPr="00CA284F" w:rsidSect="00370ECE">
      <w:footerReference w:type="defaul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D8B07" w14:textId="77777777" w:rsidR="00AD6D04" w:rsidRDefault="00AD6D04" w:rsidP="00D212FD">
      <w:pPr>
        <w:spacing w:after="0" w:line="240" w:lineRule="auto"/>
      </w:pPr>
      <w:r>
        <w:separator/>
      </w:r>
    </w:p>
  </w:endnote>
  <w:endnote w:type="continuationSeparator" w:id="0">
    <w:p w14:paraId="7A693275" w14:textId="77777777" w:rsidR="00AD6D04" w:rsidRDefault="00AD6D04" w:rsidP="00D212FD">
      <w:pPr>
        <w:spacing w:after="0" w:line="240" w:lineRule="auto"/>
      </w:pPr>
      <w:r>
        <w:continuationSeparator/>
      </w:r>
    </w:p>
  </w:endnote>
  <w:endnote w:type="continuationNotice" w:id="1">
    <w:p w14:paraId="1289F493" w14:textId="77777777" w:rsidR="00AD6D04" w:rsidRDefault="00AD6D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22616542" w:rsidR="00BC124B" w:rsidRPr="00370ECE" w:rsidRDefault="00A01A81">
    <w:pPr>
      <w:pStyle w:val="Footer"/>
      <w:rPr>
        <w:rFonts w:ascii="Arial" w:hAnsi="Arial" w:cs="Arial"/>
        <w:b/>
        <w:sz w:val="20"/>
        <w:szCs w:val="16"/>
      </w:rPr>
    </w:pPr>
    <w:r>
      <w:rPr>
        <w:rFonts w:ascii="Arial" w:hAnsi="Arial" w:cs="Arial"/>
        <w:b/>
        <w:sz w:val="20"/>
        <w:szCs w:val="16"/>
      </w:rPr>
      <w:t>Incident Response Policy</w:t>
    </w:r>
    <w:r w:rsidR="00370ECE">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BB0850">
      <w:rPr>
        <w:rFonts w:ascii="Arial" w:hAnsi="Arial" w:cs="Arial"/>
        <w:b/>
        <w:noProof/>
        <w:sz w:val="20"/>
        <w:szCs w:val="16"/>
      </w:rPr>
      <w:t>6</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16B86" w14:textId="77777777" w:rsidR="00AD6D04" w:rsidRDefault="00AD6D04" w:rsidP="00D212FD">
      <w:pPr>
        <w:spacing w:after="0" w:line="240" w:lineRule="auto"/>
      </w:pPr>
      <w:r>
        <w:separator/>
      </w:r>
    </w:p>
  </w:footnote>
  <w:footnote w:type="continuationSeparator" w:id="0">
    <w:p w14:paraId="48C063B5" w14:textId="77777777" w:rsidR="00AD6D04" w:rsidRDefault="00AD6D04" w:rsidP="00D212FD">
      <w:pPr>
        <w:spacing w:after="0" w:line="240" w:lineRule="auto"/>
      </w:pPr>
      <w:r>
        <w:continuationSeparator/>
      </w:r>
    </w:p>
  </w:footnote>
  <w:footnote w:type="continuationNotice" w:id="1">
    <w:p w14:paraId="6E5636C8" w14:textId="77777777" w:rsidR="00AD6D04" w:rsidRDefault="00AD6D0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37pt;height:36.5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8C6BA3"/>
    <w:multiLevelType w:val="multilevel"/>
    <w:tmpl w:val="D32A8642"/>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9"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5"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3"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5"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9"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0"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84"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6"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9"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21"/>
  </w:num>
  <w:num w:numId="2" w16cid:durableId="1514145562">
    <w:abstractNumId w:val="22"/>
  </w:num>
  <w:num w:numId="3" w16cid:durableId="225997702">
    <w:abstractNumId w:val="23"/>
  </w:num>
  <w:num w:numId="4" w16cid:durableId="1748962890">
    <w:abstractNumId w:val="92"/>
  </w:num>
  <w:num w:numId="5" w16cid:durableId="79567034">
    <w:abstractNumId w:val="25"/>
  </w:num>
  <w:num w:numId="6" w16cid:durableId="102041457">
    <w:abstractNumId w:val="42"/>
  </w:num>
  <w:num w:numId="7" w16cid:durableId="1957787226">
    <w:abstractNumId w:val="64"/>
  </w:num>
  <w:num w:numId="8" w16cid:durableId="1492454130">
    <w:abstractNumId w:val="79"/>
  </w:num>
  <w:num w:numId="9" w16cid:durableId="231932244">
    <w:abstractNumId w:val="68"/>
  </w:num>
  <w:num w:numId="10" w16cid:durableId="1594314303">
    <w:abstractNumId w:val="81"/>
  </w:num>
  <w:num w:numId="11" w16cid:durableId="587732204">
    <w:abstractNumId w:val="29"/>
  </w:num>
  <w:num w:numId="12" w16cid:durableId="791099340">
    <w:abstractNumId w:val="63"/>
  </w:num>
  <w:num w:numId="13" w16cid:durableId="192615054">
    <w:abstractNumId w:val="74"/>
  </w:num>
  <w:num w:numId="14" w16cid:durableId="1463234607">
    <w:abstractNumId w:val="91"/>
  </w:num>
  <w:num w:numId="15" w16cid:durableId="2078818769">
    <w:abstractNumId w:val="69"/>
  </w:num>
  <w:num w:numId="16" w16cid:durableId="424889611">
    <w:abstractNumId w:val="88"/>
  </w:num>
  <w:num w:numId="17" w16cid:durableId="298457807">
    <w:abstractNumId w:val="40"/>
  </w:num>
  <w:num w:numId="18" w16cid:durableId="1117681564">
    <w:abstractNumId w:val="15"/>
  </w:num>
  <w:num w:numId="19" w16cid:durableId="1963684235">
    <w:abstractNumId w:val="46"/>
  </w:num>
  <w:num w:numId="20" w16cid:durableId="2145417109">
    <w:abstractNumId w:val="18"/>
  </w:num>
  <w:num w:numId="21" w16cid:durableId="1112942345">
    <w:abstractNumId w:val="85"/>
  </w:num>
  <w:num w:numId="22" w16cid:durableId="2078552006">
    <w:abstractNumId w:val="1"/>
  </w:num>
  <w:num w:numId="23" w16cid:durableId="1321499760">
    <w:abstractNumId w:val="60"/>
  </w:num>
  <w:num w:numId="24" w16cid:durableId="840972350">
    <w:abstractNumId w:val="36"/>
  </w:num>
  <w:num w:numId="25" w16cid:durableId="754714813">
    <w:abstractNumId w:val="19"/>
  </w:num>
  <w:num w:numId="26" w16cid:durableId="235092744">
    <w:abstractNumId w:val="69"/>
  </w:num>
  <w:num w:numId="27" w16cid:durableId="964044067">
    <w:abstractNumId w:val="13"/>
  </w:num>
  <w:num w:numId="28" w16cid:durableId="459542745">
    <w:abstractNumId w:val="70"/>
  </w:num>
  <w:num w:numId="29" w16cid:durableId="1971202156">
    <w:abstractNumId w:val="70"/>
  </w:num>
  <w:num w:numId="30" w16cid:durableId="748649458">
    <w:abstractNumId w:val="5"/>
  </w:num>
  <w:num w:numId="31" w16cid:durableId="507451150">
    <w:abstractNumId w:val="83"/>
  </w:num>
  <w:num w:numId="32" w16cid:durableId="1251425206">
    <w:abstractNumId w:val="10"/>
  </w:num>
  <w:num w:numId="33" w16cid:durableId="1719548277">
    <w:abstractNumId w:val="0"/>
  </w:num>
  <w:num w:numId="34" w16cid:durableId="1884634594">
    <w:abstractNumId w:val="4"/>
  </w:num>
  <w:num w:numId="35" w16cid:durableId="1878809610">
    <w:abstractNumId w:val="73"/>
  </w:num>
  <w:num w:numId="36" w16cid:durableId="729882645">
    <w:abstractNumId w:val="39"/>
  </w:num>
  <w:num w:numId="37" w16cid:durableId="662511869">
    <w:abstractNumId w:val="17"/>
  </w:num>
  <w:num w:numId="38" w16cid:durableId="1314141274">
    <w:abstractNumId w:val="28"/>
  </w:num>
  <w:num w:numId="39" w16cid:durableId="163134697">
    <w:abstractNumId w:val="52"/>
  </w:num>
  <w:num w:numId="40" w16cid:durableId="90471875">
    <w:abstractNumId w:val="82"/>
  </w:num>
  <w:num w:numId="41" w16cid:durableId="872771505">
    <w:abstractNumId w:val="16"/>
  </w:num>
  <w:num w:numId="42" w16cid:durableId="1080102891">
    <w:abstractNumId w:val="78"/>
  </w:num>
  <w:num w:numId="43" w16cid:durableId="941651372">
    <w:abstractNumId w:val="31"/>
  </w:num>
  <w:num w:numId="44" w16cid:durableId="202984311">
    <w:abstractNumId w:val="35"/>
  </w:num>
  <w:num w:numId="45" w16cid:durableId="670764675">
    <w:abstractNumId w:val="20"/>
  </w:num>
  <w:num w:numId="46" w16cid:durableId="22899870">
    <w:abstractNumId w:val="58"/>
  </w:num>
  <w:num w:numId="47" w16cid:durableId="594897494">
    <w:abstractNumId w:val="53"/>
  </w:num>
  <w:num w:numId="48" w16cid:durableId="1046181208">
    <w:abstractNumId w:val="72"/>
  </w:num>
  <w:num w:numId="49" w16cid:durableId="527791583">
    <w:abstractNumId w:val="51"/>
  </w:num>
  <w:num w:numId="50" w16cid:durableId="809438784">
    <w:abstractNumId w:val="24"/>
  </w:num>
  <w:num w:numId="51" w16cid:durableId="1375276283">
    <w:abstractNumId w:val="76"/>
  </w:num>
  <w:num w:numId="52" w16cid:durableId="1118791430">
    <w:abstractNumId w:val="87"/>
  </w:num>
  <w:num w:numId="53" w16cid:durableId="906500447">
    <w:abstractNumId w:val="2"/>
  </w:num>
  <w:num w:numId="54" w16cid:durableId="604532487">
    <w:abstractNumId w:val="6"/>
  </w:num>
  <w:num w:numId="55" w16cid:durableId="1424229020">
    <w:abstractNumId w:val="56"/>
  </w:num>
  <w:num w:numId="56" w16cid:durableId="412050158">
    <w:abstractNumId w:val="3"/>
  </w:num>
  <w:num w:numId="57" w16cid:durableId="271741903">
    <w:abstractNumId w:val="41"/>
  </w:num>
  <w:num w:numId="58" w16cid:durableId="611715386">
    <w:abstractNumId w:val="33"/>
  </w:num>
  <w:num w:numId="59" w16cid:durableId="432014363">
    <w:abstractNumId w:val="26"/>
  </w:num>
  <w:num w:numId="60" w16cid:durableId="1357072833">
    <w:abstractNumId w:val="38"/>
  </w:num>
  <w:num w:numId="61" w16cid:durableId="1083916185">
    <w:abstractNumId w:val="61"/>
  </w:num>
  <w:num w:numId="62" w16cid:durableId="434599134">
    <w:abstractNumId w:val="44"/>
  </w:num>
  <w:num w:numId="63" w16cid:durableId="1906333805">
    <w:abstractNumId w:val="11"/>
  </w:num>
  <w:num w:numId="64" w16cid:durableId="2007323139">
    <w:abstractNumId w:val="61"/>
  </w:num>
  <w:num w:numId="65" w16cid:durableId="1117287286">
    <w:abstractNumId w:val="9"/>
  </w:num>
  <w:num w:numId="66" w16cid:durableId="2034106498">
    <w:abstractNumId w:val="49"/>
  </w:num>
  <w:num w:numId="67" w16cid:durableId="828251500">
    <w:abstractNumId w:val="77"/>
  </w:num>
  <w:num w:numId="68" w16cid:durableId="1879971182">
    <w:abstractNumId w:val="67"/>
  </w:num>
  <w:num w:numId="69" w16cid:durableId="757793527">
    <w:abstractNumId w:val="80"/>
  </w:num>
  <w:num w:numId="70" w16cid:durableId="266739948">
    <w:abstractNumId w:val="57"/>
  </w:num>
  <w:num w:numId="71" w16cid:durableId="157355603">
    <w:abstractNumId w:val="50"/>
  </w:num>
  <w:num w:numId="72" w16cid:durableId="1820656487">
    <w:abstractNumId w:val="65"/>
  </w:num>
  <w:num w:numId="73" w16cid:durableId="651760037">
    <w:abstractNumId w:val="30"/>
  </w:num>
  <w:num w:numId="74" w16cid:durableId="249898313">
    <w:abstractNumId w:val="8"/>
  </w:num>
  <w:num w:numId="75" w16cid:durableId="652107625">
    <w:abstractNumId w:val="12"/>
  </w:num>
  <w:num w:numId="76" w16cid:durableId="2014717049">
    <w:abstractNumId w:val="75"/>
  </w:num>
  <w:num w:numId="77" w16cid:durableId="1376393224">
    <w:abstractNumId w:val="45"/>
  </w:num>
  <w:num w:numId="78" w16cid:durableId="432746525">
    <w:abstractNumId w:val="86"/>
  </w:num>
  <w:num w:numId="79" w16cid:durableId="1019740546">
    <w:abstractNumId w:val="7"/>
  </w:num>
  <w:num w:numId="80" w16cid:durableId="905457854">
    <w:abstractNumId w:val="43"/>
  </w:num>
  <w:num w:numId="81" w16cid:durableId="786852085">
    <w:abstractNumId w:val="62"/>
  </w:num>
  <w:num w:numId="82" w16cid:durableId="1749499393">
    <w:abstractNumId w:val="93"/>
  </w:num>
  <w:num w:numId="83" w16cid:durableId="1380086196">
    <w:abstractNumId w:val="71"/>
  </w:num>
  <w:num w:numId="84" w16cid:durableId="613631224">
    <w:abstractNumId w:val="27"/>
  </w:num>
  <w:num w:numId="85" w16cid:durableId="547686744">
    <w:abstractNumId w:val="47"/>
  </w:num>
  <w:num w:numId="86" w16cid:durableId="361827481">
    <w:abstractNumId w:val="90"/>
  </w:num>
  <w:num w:numId="87" w16cid:durableId="1513494410">
    <w:abstractNumId w:val="66"/>
  </w:num>
  <w:num w:numId="88" w16cid:durableId="1450468933">
    <w:abstractNumId w:val="32"/>
  </w:num>
  <w:num w:numId="89" w16cid:durableId="353725285">
    <w:abstractNumId w:val="59"/>
  </w:num>
  <w:num w:numId="90" w16cid:durableId="57361110">
    <w:abstractNumId w:val="37"/>
  </w:num>
  <w:num w:numId="91" w16cid:durableId="202523">
    <w:abstractNumId w:val="14"/>
  </w:num>
  <w:num w:numId="92" w16cid:durableId="552279996">
    <w:abstractNumId w:val="34"/>
  </w:num>
  <w:num w:numId="93" w16cid:durableId="448164797">
    <w:abstractNumId w:val="89"/>
  </w:num>
  <w:num w:numId="94" w16cid:durableId="887495297">
    <w:abstractNumId w:val="84"/>
  </w:num>
  <w:num w:numId="95" w16cid:durableId="1150754622">
    <w:abstractNumId w:val="48"/>
  </w:num>
  <w:num w:numId="96" w16cid:durableId="745540869">
    <w:abstractNumId w:val="55"/>
  </w:num>
  <w:num w:numId="97" w16cid:durableId="1452506872">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34F76"/>
    <w:rsid w:val="000351E2"/>
    <w:rsid w:val="00036A2A"/>
    <w:rsid w:val="00042258"/>
    <w:rsid w:val="0004473F"/>
    <w:rsid w:val="00064308"/>
    <w:rsid w:val="000649E1"/>
    <w:rsid w:val="00067349"/>
    <w:rsid w:val="00067BF2"/>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7DE"/>
    <w:rsid w:val="000E004A"/>
    <w:rsid w:val="000E1B8F"/>
    <w:rsid w:val="000E2AB1"/>
    <w:rsid w:val="000E5E88"/>
    <w:rsid w:val="000E5F2D"/>
    <w:rsid w:val="000E6322"/>
    <w:rsid w:val="000E7045"/>
    <w:rsid w:val="000E7F04"/>
    <w:rsid w:val="000F21A2"/>
    <w:rsid w:val="000F7D83"/>
    <w:rsid w:val="00102B2E"/>
    <w:rsid w:val="00105B79"/>
    <w:rsid w:val="00107913"/>
    <w:rsid w:val="00113B50"/>
    <w:rsid w:val="0011412A"/>
    <w:rsid w:val="0011587C"/>
    <w:rsid w:val="00120224"/>
    <w:rsid w:val="00132D40"/>
    <w:rsid w:val="00132EED"/>
    <w:rsid w:val="00134AC2"/>
    <w:rsid w:val="00152995"/>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3862"/>
    <w:rsid w:val="001A6527"/>
    <w:rsid w:val="001B13D9"/>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24ECA"/>
    <w:rsid w:val="0022609C"/>
    <w:rsid w:val="00232A96"/>
    <w:rsid w:val="002335BD"/>
    <w:rsid w:val="00240E57"/>
    <w:rsid w:val="002413AD"/>
    <w:rsid w:val="00254F95"/>
    <w:rsid w:val="002657E4"/>
    <w:rsid w:val="0026673E"/>
    <w:rsid w:val="00266C30"/>
    <w:rsid w:val="002761BB"/>
    <w:rsid w:val="00276B81"/>
    <w:rsid w:val="00282939"/>
    <w:rsid w:val="00285F2B"/>
    <w:rsid w:val="002867B4"/>
    <w:rsid w:val="002A0C29"/>
    <w:rsid w:val="002A365B"/>
    <w:rsid w:val="002A6BF3"/>
    <w:rsid w:val="002A70B4"/>
    <w:rsid w:val="002B4AA6"/>
    <w:rsid w:val="002B4D9E"/>
    <w:rsid w:val="002B57A1"/>
    <w:rsid w:val="002B6917"/>
    <w:rsid w:val="002C1D99"/>
    <w:rsid w:val="002C33A3"/>
    <w:rsid w:val="002C3B56"/>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310E"/>
    <w:rsid w:val="003562C4"/>
    <w:rsid w:val="00360086"/>
    <w:rsid w:val="00362BB0"/>
    <w:rsid w:val="003651AC"/>
    <w:rsid w:val="00370ECE"/>
    <w:rsid w:val="00376E65"/>
    <w:rsid w:val="00383988"/>
    <w:rsid w:val="00391D2B"/>
    <w:rsid w:val="003A1031"/>
    <w:rsid w:val="003A504C"/>
    <w:rsid w:val="003A50A7"/>
    <w:rsid w:val="003A5838"/>
    <w:rsid w:val="003A60BF"/>
    <w:rsid w:val="003A79AA"/>
    <w:rsid w:val="003B0EBB"/>
    <w:rsid w:val="003B658A"/>
    <w:rsid w:val="003C3A84"/>
    <w:rsid w:val="003C6B77"/>
    <w:rsid w:val="003C78D0"/>
    <w:rsid w:val="003D08DC"/>
    <w:rsid w:val="003D1D2E"/>
    <w:rsid w:val="003E0E2A"/>
    <w:rsid w:val="003E1164"/>
    <w:rsid w:val="003E3F86"/>
    <w:rsid w:val="003F099F"/>
    <w:rsid w:val="003F1C55"/>
    <w:rsid w:val="003F372E"/>
    <w:rsid w:val="003F56C1"/>
    <w:rsid w:val="00406223"/>
    <w:rsid w:val="004065A0"/>
    <w:rsid w:val="00413ABD"/>
    <w:rsid w:val="00416A9C"/>
    <w:rsid w:val="00423DDD"/>
    <w:rsid w:val="004249B0"/>
    <w:rsid w:val="00426882"/>
    <w:rsid w:val="00431C29"/>
    <w:rsid w:val="00432A58"/>
    <w:rsid w:val="004373BC"/>
    <w:rsid w:val="00446B8D"/>
    <w:rsid w:val="00452BE4"/>
    <w:rsid w:val="00453386"/>
    <w:rsid w:val="0045793A"/>
    <w:rsid w:val="004612DA"/>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316D"/>
    <w:rsid w:val="00516F54"/>
    <w:rsid w:val="00517A11"/>
    <w:rsid w:val="00517D43"/>
    <w:rsid w:val="00522500"/>
    <w:rsid w:val="00525B85"/>
    <w:rsid w:val="00530EDC"/>
    <w:rsid w:val="00531239"/>
    <w:rsid w:val="005318F6"/>
    <w:rsid w:val="00537B26"/>
    <w:rsid w:val="005417A0"/>
    <w:rsid w:val="005419EC"/>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46C5"/>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F0199"/>
    <w:rsid w:val="005F07FA"/>
    <w:rsid w:val="005F2D1B"/>
    <w:rsid w:val="005F2FAA"/>
    <w:rsid w:val="00600089"/>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DCD"/>
    <w:rsid w:val="00672CE3"/>
    <w:rsid w:val="006762BD"/>
    <w:rsid w:val="00677DC2"/>
    <w:rsid w:val="0068254C"/>
    <w:rsid w:val="00685314"/>
    <w:rsid w:val="006875BD"/>
    <w:rsid w:val="00694606"/>
    <w:rsid w:val="006A1FC6"/>
    <w:rsid w:val="006A278A"/>
    <w:rsid w:val="006A4BFC"/>
    <w:rsid w:val="006A4D15"/>
    <w:rsid w:val="006B4148"/>
    <w:rsid w:val="006B6F73"/>
    <w:rsid w:val="006C1883"/>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B261E"/>
    <w:rsid w:val="007B45AC"/>
    <w:rsid w:val="007B5098"/>
    <w:rsid w:val="007B7F24"/>
    <w:rsid w:val="007C694B"/>
    <w:rsid w:val="007C77C2"/>
    <w:rsid w:val="007D1ACB"/>
    <w:rsid w:val="007E0061"/>
    <w:rsid w:val="007E11D6"/>
    <w:rsid w:val="007E20A4"/>
    <w:rsid w:val="007E4505"/>
    <w:rsid w:val="007E4717"/>
    <w:rsid w:val="007E609C"/>
    <w:rsid w:val="007E7864"/>
    <w:rsid w:val="007F2ADD"/>
    <w:rsid w:val="007F4FB3"/>
    <w:rsid w:val="007F6B0E"/>
    <w:rsid w:val="007F6C7D"/>
    <w:rsid w:val="0080349B"/>
    <w:rsid w:val="00811D97"/>
    <w:rsid w:val="00812DEA"/>
    <w:rsid w:val="008135E1"/>
    <w:rsid w:val="008137F4"/>
    <w:rsid w:val="00815819"/>
    <w:rsid w:val="00817490"/>
    <w:rsid w:val="00817CF6"/>
    <w:rsid w:val="0082107A"/>
    <w:rsid w:val="00821D2A"/>
    <w:rsid w:val="008220CB"/>
    <w:rsid w:val="00827E33"/>
    <w:rsid w:val="00835582"/>
    <w:rsid w:val="00840EC8"/>
    <w:rsid w:val="00841EC0"/>
    <w:rsid w:val="00842E45"/>
    <w:rsid w:val="00855023"/>
    <w:rsid w:val="00862653"/>
    <w:rsid w:val="00862B61"/>
    <w:rsid w:val="00864379"/>
    <w:rsid w:val="00865597"/>
    <w:rsid w:val="00874B8B"/>
    <w:rsid w:val="008813BF"/>
    <w:rsid w:val="008834A0"/>
    <w:rsid w:val="00883EF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2E88"/>
    <w:rsid w:val="009953F8"/>
    <w:rsid w:val="009A1045"/>
    <w:rsid w:val="009A2D3C"/>
    <w:rsid w:val="009A309F"/>
    <w:rsid w:val="009B0158"/>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B6C"/>
    <w:rsid w:val="00A75C2A"/>
    <w:rsid w:val="00A77647"/>
    <w:rsid w:val="00A802C4"/>
    <w:rsid w:val="00A92A22"/>
    <w:rsid w:val="00A96DF2"/>
    <w:rsid w:val="00AA274F"/>
    <w:rsid w:val="00AB14A5"/>
    <w:rsid w:val="00AB28B1"/>
    <w:rsid w:val="00AB44CE"/>
    <w:rsid w:val="00AB60B1"/>
    <w:rsid w:val="00AB7016"/>
    <w:rsid w:val="00AB77FE"/>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3649"/>
    <w:rsid w:val="00B74892"/>
    <w:rsid w:val="00B80350"/>
    <w:rsid w:val="00B806DF"/>
    <w:rsid w:val="00B80787"/>
    <w:rsid w:val="00B80A67"/>
    <w:rsid w:val="00B925C7"/>
    <w:rsid w:val="00B9673C"/>
    <w:rsid w:val="00BA0F45"/>
    <w:rsid w:val="00BA4997"/>
    <w:rsid w:val="00BB00F8"/>
    <w:rsid w:val="00BB0850"/>
    <w:rsid w:val="00BB44CE"/>
    <w:rsid w:val="00BC0E64"/>
    <w:rsid w:val="00BC124B"/>
    <w:rsid w:val="00BC1E70"/>
    <w:rsid w:val="00BC3852"/>
    <w:rsid w:val="00BC4D98"/>
    <w:rsid w:val="00BC5920"/>
    <w:rsid w:val="00BC720C"/>
    <w:rsid w:val="00BD0603"/>
    <w:rsid w:val="00BE0736"/>
    <w:rsid w:val="00BF128E"/>
    <w:rsid w:val="00BF200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F9B"/>
    <w:rsid w:val="00C57773"/>
    <w:rsid w:val="00C73C6D"/>
    <w:rsid w:val="00C83D0F"/>
    <w:rsid w:val="00C931B6"/>
    <w:rsid w:val="00C966B0"/>
    <w:rsid w:val="00C97C8F"/>
    <w:rsid w:val="00CA284F"/>
    <w:rsid w:val="00CA7724"/>
    <w:rsid w:val="00CB7255"/>
    <w:rsid w:val="00CB7936"/>
    <w:rsid w:val="00CC1F5B"/>
    <w:rsid w:val="00CC3316"/>
    <w:rsid w:val="00CC7981"/>
    <w:rsid w:val="00CD3817"/>
    <w:rsid w:val="00CD4267"/>
    <w:rsid w:val="00CD7EB7"/>
    <w:rsid w:val="00CE4838"/>
    <w:rsid w:val="00CF278D"/>
    <w:rsid w:val="00CF71F6"/>
    <w:rsid w:val="00D00D2F"/>
    <w:rsid w:val="00D06944"/>
    <w:rsid w:val="00D10A37"/>
    <w:rsid w:val="00D16FEA"/>
    <w:rsid w:val="00D212FD"/>
    <w:rsid w:val="00D328C7"/>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6575"/>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E11FB"/>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rc.nist.gov/pubs/sp/800/53/r5/upd1/fina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rc.nist.gov/pubs/sp/800/84/fina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50/r1/fina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rc.nist.gov/pubs/sp/800/92/fin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
      <w:docPartPr>
        <w:name w:val="DC6DB760D6ED4CC493499A67DEAF44C4"/>
        <w:category>
          <w:name w:val="General"/>
          <w:gallery w:val="placeholder"/>
        </w:category>
        <w:types>
          <w:type w:val="bbPlcHdr"/>
        </w:types>
        <w:behaviors>
          <w:behavior w:val="content"/>
        </w:behaviors>
        <w:guid w:val="{A79B1E49-A506-460E-9FB8-C9B72BA0C77E}"/>
      </w:docPartPr>
      <w:docPartBody>
        <w:p w:rsidR="00000000" w:rsidRDefault="00C9565F" w:rsidP="00C9565F">
          <w:pPr>
            <w:pStyle w:val="DC6DB760D6ED4CC493499A67DEAF44C4"/>
          </w:pPr>
          <w:r w:rsidRPr="0051200E">
            <w:rPr>
              <w:rFonts w:ascii="Arial" w:hAnsi="Arial" w:cs="Arial"/>
            </w:rPr>
            <w:t>[</w:t>
          </w:r>
          <w:r w:rsidRPr="0051200E">
            <w:rPr>
              <w:rStyle w:val="PlaceholderText"/>
              <w:rFonts w:ascii="Arial" w:hAnsi="Arial" w:cs="Arial"/>
            </w:rPr>
            <w:t>Organization Name]</w:t>
          </w:r>
        </w:p>
      </w:docPartBody>
    </w:docPart>
    <w:docPart>
      <w:docPartPr>
        <w:name w:val="2FEAEB1EE625403499D50D5964014C39"/>
        <w:category>
          <w:name w:val="General"/>
          <w:gallery w:val="placeholder"/>
        </w:category>
        <w:types>
          <w:type w:val="bbPlcHdr"/>
        </w:types>
        <w:behaviors>
          <w:behavior w:val="content"/>
        </w:behaviors>
        <w:guid w:val="{CDEFC334-AF17-4F9D-B631-647A817C9B2F}"/>
      </w:docPartPr>
      <w:docPartBody>
        <w:p w:rsidR="00000000" w:rsidRDefault="00C9565F" w:rsidP="00C9565F">
          <w:pPr>
            <w:pStyle w:val="2FEAEB1EE625403499D50D5964014C39"/>
          </w:pPr>
          <w:r w:rsidRPr="0051200E">
            <w:rPr>
              <w:rFonts w:ascii="Arial" w:hAnsi="Arial" w:cs="Arial"/>
            </w:rPr>
            <w:t>[</w:t>
          </w:r>
          <w:r w:rsidRPr="0051200E">
            <w:rPr>
              <w:rStyle w:val="PlaceholderText"/>
              <w:rFonts w:ascii="Arial" w:hAnsi="Arial" w:cs="Arial"/>
            </w:rPr>
            <w:t>Organization Name]</w:t>
          </w:r>
        </w:p>
      </w:docPartBody>
    </w:docPart>
    <w:docPart>
      <w:docPartPr>
        <w:name w:val="C1458B347676411EBB5019A98D439E2A"/>
        <w:category>
          <w:name w:val="General"/>
          <w:gallery w:val="placeholder"/>
        </w:category>
        <w:types>
          <w:type w:val="bbPlcHdr"/>
        </w:types>
        <w:behaviors>
          <w:behavior w:val="content"/>
        </w:behaviors>
        <w:guid w:val="{A6EB69FD-E545-42C3-A227-36FD46A6EDF4}"/>
      </w:docPartPr>
      <w:docPartBody>
        <w:p w:rsidR="00000000" w:rsidRDefault="00C9565F" w:rsidP="00C9565F">
          <w:pPr>
            <w:pStyle w:val="C1458B347676411EBB5019A98D439E2A"/>
          </w:pPr>
          <w:r w:rsidRPr="0051200E">
            <w:rPr>
              <w:rFonts w:ascii="Arial" w:hAnsi="Arial" w:cs="Arial"/>
            </w:rPr>
            <w:t>[</w:t>
          </w:r>
          <w:r w:rsidRPr="0051200E">
            <w:rPr>
              <w:rStyle w:val="PlaceholderText"/>
              <w:rFonts w:ascii="Arial" w:hAnsi="Arial" w:cs="Arial"/>
            </w:rPr>
            <w:t>Organization Name]</w:t>
          </w:r>
        </w:p>
      </w:docPartBody>
    </w:docPart>
    <w:docPart>
      <w:docPartPr>
        <w:name w:val="F7D30099D5F2465FA368C254491510DC"/>
        <w:category>
          <w:name w:val="General"/>
          <w:gallery w:val="placeholder"/>
        </w:category>
        <w:types>
          <w:type w:val="bbPlcHdr"/>
        </w:types>
        <w:behaviors>
          <w:behavior w:val="content"/>
        </w:behaviors>
        <w:guid w:val="{2C0F3BA2-55B0-4B16-84D5-D91F3B53D868}"/>
      </w:docPartPr>
      <w:docPartBody>
        <w:p w:rsidR="00000000" w:rsidRDefault="00C9565F" w:rsidP="00C9565F">
          <w:pPr>
            <w:pStyle w:val="F7D30099D5F2465FA368C254491510DC"/>
          </w:pPr>
          <w:r w:rsidRPr="0051200E">
            <w:rPr>
              <w:rFonts w:ascii="Arial" w:hAnsi="Arial" w:cs="Arial"/>
            </w:rPr>
            <w:t>[</w:t>
          </w:r>
          <w:r w:rsidRPr="0051200E">
            <w:rPr>
              <w:rStyle w:val="PlaceholderText"/>
              <w:rFonts w:ascii="Arial" w:hAnsi="Arial" w:cs="Arial"/>
            </w:rPr>
            <w:t>Organization Name]</w:t>
          </w:r>
        </w:p>
      </w:docPartBody>
    </w:docPart>
    <w:docPart>
      <w:docPartPr>
        <w:name w:val="6E40EA701F054BF4B24156A4F213A586"/>
        <w:category>
          <w:name w:val="General"/>
          <w:gallery w:val="placeholder"/>
        </w:category>
        <w:types>
          <w:type w:val="bbPlcHdr"/>
        </w:types>
        <w:behaviors>
          <w:behavior w:val="content"/>
        </w:behaviors>
        <w:guid w:val="{211C18D9-07A7-4853-80F4-FE973F78FD45}"/>
      </w:docPartPr>
      <w:docPartBody>
        <w:p w:rsidR="00000000" w:rsidRDefault="00C9565F" w:rsidP="00C9565F">
          <w:pPr>
            <w:pStyle w:val="6E40EA701F054BF4B24156A4F213A586"/>
          </w:pPr>
          <w:r w:rsidRPr="0051200E">
            <w:rPr>
              <w:rFonts w:ascii="Arial" w:hAnsi="Arial" w:cs="Arial"/>
            </w:rPr>
            <w:t>[</w:t>
          </w:r>
          <w:r w:rsidRPr="0051200E">
            <w:rPr>
              <w:rStyle w:val="PlaceholderText"/>
              <w:rFonts w:ascii="Arial" w:hAnsi="Arial" w:cs="Arial"/>
            </w:rPr>
            <w:t>Organization Name]</w:t>
          </w:r>
        </w:p>
      </w:docPartBody>
    </w:docPart>
    <w:docPart>
      <w:docPartPr>
        <w:name w:val="2706E1C32AFB454685F7437664E83356"/>
        <w:category>
          <w:name w:val="General"/>
          <w:gallery w:val="placeholder"/>
        </w:category>
        <w:types>
          <w:type w:val="bbPlcHdr"/>
        </w:types>
        <w:behaviors>
          <w:behavior w:val="content"/>
        </w:behaviors>
        <w:guid w:val="{FA7FAEB2-9CAB-412D-B969-124FA9803EFE}"/>
      </w:docPartPr>
      <w:docPartBody>
        <w:p w:rsidR="00000000" w:rsidRDefault="00C9565F" w:rsidP="00C9565F">
          <w:pPr>
            <w:pStyle w:val="2706E1C32AFB454685F7437664E83356"/>
          </w:pPr>
          <w:r w:rsidRPr="0051200E">
            <w:rPr>
              <w:rFonts w:ascii="Arial" w:hAnsi="Arial" w:cs="Arial"/>
            </w:rPr>
            <w:t>[</w:t>
          </w:r>
          <w:r w:rsidRPr="0051200E">
            <w:rPr>
              <w:rStyle w:val="PlaceholderText"/>
              <w:rFonts w:ascii="Arial" w:hAnsi="Arial" w:cs="Arial"/>
            </w:rPr>
            <w:t>Organization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225E6E"/>
    <w:rsid w:val="00231331"/>
    <w:rsid w:val="002D554D"/>
    <w:rsid w:val="002E2CC9"/>
    <w:rsid w:val="003A7898"/>
    <w:rsid w:val="003E26C0"/>
    <w:rsid w:val="003E5700"/>
    <w:rsid w:val="00590B50"/>
    <w:rsid w:val="005A0CCC"/>
    <w:rsid w:val="00603186"/>
    <w:rsid w:val="00756219"/>
    <w:rsid w:val="007B6361"/>
    <w:rsid w:val="008E09B4"/>
    <w:rsid w:val="008E65C9"/>
    <w:rsid w:val="008F60AB"/>
    <w:rsid w:val="0096366A"/>
    <w:rsid w:val="009822FE"/>
    <w:rsid w:val="00A0480E"/>
    <w:rsid w:val="00A31AA0"/>
    <w:rsid w:val="00A6201B"/>
    <w:rsid w:val="00B80350"/>
    <w:rsid w:val="00C6593C"/>
    <w:rsid w:val="00C9565F"/>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565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 w:type="paragraph" w:customStyle="1" w:styleId="E4C2EC4B7CA74E8FAB88713EA2A545AA">
    <w:name w:val="E4C2EC4B7CA74E8FAB88713EA2A545AA"/>
    <w:rsid w:val="00C9565F"/>
  </w:style>
  <w:style w:type="paragraph" w:customStyle="1" w:styleId="DC6DB760D6ED4CC493499A67DEAF44C4">
    <w:name w:val="DC6DB760D6ED4CC493499A67DEAF44C4"/>
    <w:rsid w:val="00C9565F"/>
  </w:style>
  <w:style w:type="paragraph" w:customStyle="1" w:styleId="2FEAEB1EE625403499D50D5964014C39">
    <w:name w:val="2FEAEB1EE625403499D50D5964014C39"/>
    <w:rsid w:val="00C9565F"/>
  </w:style>
  <w:style w:type="paragraph" w:customStyle="1" w:styleId="C1458B347676411EBB5019A98D439E2A">
    <w:name w:val="C1458B347676411EBB5019A98D439E2A"/>
    <w:rsid w:val="00C9565F"/>
  </w:style>
  <w:style w:type="paragraph" w:customStyle="1" w:styleId="F7D30099D5F2465FA368C254491510DC">
    <w:name w:val="F7D30099D5F2465FA368C254491510DC"/>
    <w:rsid w:val="00C9565F"/>
  </w:style>
  <w:style w:type="paragraph" w:customStyle="1" w:styleId="6E40EA701F054BF4B24156A4F213A586">
    <w:name w:val="6E40EA701F054BF4B24156A4F213A586"/>
    <w:rsid w:val="00C9565F"/>
  </w:style>
  <w:style w:type="paragraph" w:customStyle="1" w:styleId="2706E1C32AFB454685F7437664E83356">
    <w:name w:val="2706E1C32AFB454685F7437664E83356"/>
    <w:rsid w:val="00C95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32</TotalTime>
  <Pages>6</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4</cp:revision>
  <dcterms:created xsi:type="dcterms:W3CDTF">2024-10-26T22:30:00Z</dcterms:created>
  <dcterms:modified xsi:type="dcterms:W3CDTF">2024-10-26T23:05:00Z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