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167BC5E0" w14:textId="77777777" w:rsidR="00C611C5" w:rsidRPr="00B81B99" w:rsidRDefault="00C611C5" w:rsidP="009D4DB0">
            <w:pPr>
              <w:spacing w:after="0" w:line="240" w:lineRule="auto"/>
              <w:jc w:val="center"/>
              <w:rPr>
                <w:rFonts w:ascii="Arial" w:hAnsi="Arial" w:cs="Arial"/>
                <w:sz w:val="24"/>
                <w:szCs w:val="40"/>
              </w:rPr>
            </w:pPr>
          </w:p>
          <w:p w14:paraId="06CBE72E" w14:textId="4FC508FC" w:rsidR="009D4DB0" w:rsidRPr="00B81B99" w:rsidRDefault="00C611C5" w:rsidP="009D4DB0">
            <w:pPr>
              <w:spacing w:after="240" w:line="240" w:lineRule="auto"/>
              <w:jc w:val="center"/>
              <w:rPr>
                <w:rFonts w:ascii="Arial" w:hAnsi="Arial" w:cs="Arial"/>
                <w:b/>
                <w:sz w:val="52"/>
                <w:szCs w:val="52"/>
              </w:rPr>
            </w:pPr>
            <w:r w:rsidRPr="00C611C5">
              <w:rPr>
                <w:rFonts w:ascii="Arial" w:hAnsi="Arial" w:cs="Arial"/>
                <w:b/>
                <w:sz w:val="40"/>
              </w:rPr>
              <w:t>Security Assessment and Authorization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70A7D96D" w14:textId="77777777" w:rsidR="00E819AA" w:rsidRDefault="00E819AA" w:rsidP="00B81B99">
      <w:pPr>
        <w:pStyle w:val="Heading1"/>
        <w:rPr>
          <w:rFonts w:eastAsia="Calibri" w:cs="Arial"/>
          <w:b w:val="0"/>
          <w:color w:val="auto"/>
          <w:sz w:val="24"/>
          <w:szCs w:val="24"/>
        </w:rPr>
      </w:pPr>
      <w:r w:rsidRPr="00E819AA">
        <w:rPr>
          <w:rFonts w:eastAsia="Calibri" w:cs="Arial"/>
          <w:b w:val="0"/>
          <w:color w:val="auto"/>
          <w:sz w:val="24"/>
          <w:szCs w:val="24"/>
        </w:rPr>
        <w:t>Information Technology (IT) and the various business units (information owners) will ensure security controls in information systems, and the environments in which those systems operate, as part of initial and ongoing security authorizations, annual assessments, continuous monitoring and system development life cycle activities.</w:t>
      </w:r>
    </w:p>
    <w:p w14:paraId="23F76A20" w14:textId="43B422CD"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Pr="003F1E53" w:rsidRDefault="003F1E53" w:rsidP="00EB11C6">
      <w:pPr>
        <w:ind w:right="180"/>
        <w:jc w:val="both"/>
        <w:rPr>
          <w:rFonts w:ascii="Arial" w:hAnsi="Arial" w:cs="Arial"/>
          <w:color w:val="C00000"/>
          <w:sz w:val="24"/>
          <w:szCs w:val="24"/>
        </w:rPr>
      </w:pPr>
      <w:r w:rsidRPr="003F1E53">
        <w:rPr>
          <w:rFonts w:ascii="Arial" w:hAnsi="Arial" w:cs="Arial"/>
          <w:i/>
          <w:iCs/>
          <w:color w:val="C00000"/>
          <w:sz w:val="24"/>
          <w:szCs w:val="24"/>
        </w:rPr>
        <w:t>[Authority Needed]</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7C53B7DA" w14:textId="2BCA09B0" w:rsidR="00E819AA" w:rsidRPr="0074416F" w:rsidRDefault="00E819AA" w:rsidP="00C17CED">
      <w:pPr>
        <w:ind w:right="446"/>
        <w:jc w:val="both"/>
        <w:rPr>
          <w:rFonts w:ascii="Arial" w:hAnsi="Arial" w:cs="Arial"/>
          <w:color w:val="C00000"/>
          <w:sz w:val="24"/>
          <w:szCs w:val="24"/>
        </w:rPr>
      </w:pPr>
      <w:r w:rsidRPr="00E819AA">
        <w:rPr>
          <w:rFonts w:ascii="Arial" w:hAnsi="Arial" w:cs="Arial"/>
          <w:color w:val="C00000"/>
          <w:sz w:val="24"/>
          <w:szCs w:val="24"/>
        </w:rPr>
        <w:t>This policy is applicable to all departments and users of IT resources and assets.  Every department that maintains or collects informational assets must be compliant with this policy.</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7311FE38" w14:textId="1B444B37" w:rsidR="00E819AA" w:rsidRPr="00E819AA" w:rsidRDefault="00E819AA" w:rsidP="00E819AA">
      <w:pPr>
        <w:ind w:right="446"/>
        <w:jc w:val="both"/>
        <w:rPr>
          <w:rFonts w:ascii="Arial" w:hAnsi="Arial" w:cs="Arial"/>
          <w:color w:val="C00000"/>
          <w:sz w:val="24"/>
          <w:szCs w:val="24"/>
        </w:rPr>
      </w:pPr>
      <w:r w:rsidRPr="0074416F">
        <w:rPr>
          <w:rFonts w:ascii="Arial" w:hAnsi="Arial" w:cs="Arial"/>
          <w:color w:val="C00000"/>
          <w:sz w:val="24"/>
          <w:szCs w:val="24"/>
        </w:rPr>
        <w:t>[S</w:t>
      </w:r>
      <w:r>
        <w:rPr>
          <w:rFonts w:ascii="Arial" w:hAnsi="Arial" w:cs="Arial"/>
          <w:color w:val="C00000"/>
          <w:sz w:val="24"/>
          <w:szCs w:val="24"/>
        </w:rPr>
        <w:t>tatement</w:t>
      </w:r>
      <w:r w:rsidRPr="0074416F">
        <w:rPr>
          <w:rFonts w:ascii="Arial" w:hAnsi="Arial" w:cs="Arial"/>
          <w:color w:val="C00000"/>
          <w:sz w:val="24"/>
          <w:szCs w:val="24"/>
        </w:rPr>
        <w:t xml:space="preserve"> Needed]</w:t>
      </w:r>
    </w:p>
    <w:p w14:paraId="589C9F41" w14:textId="027444D8" w:rsidR="00625764" w:rsidRDefault="00E819A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Assessment and Authorization Policy and Procedures</w:t>
      </w:r>
    </w:p>
    <w:p w14:paraId="2F2F94A6" w14:textId="10C741A2" w:rsidR="00E819AA" w:rsidRDefault="00E819AA" w:rsidP="00E819AA">
      <w:pPr>
        <w:spacing w:after="120" w:line="240" w:lineRule="auto"/>
        <w:ind w:left="86" w:right="446" w:firstLine="360"/>
        <w:jc w:val="both"/>
        <w:rPr>
          <w:rFonts w:ascii="Arial" w:hAnsi="Arial" w:cs="Arial"/>
          <w:sz w:val="24"/>
          <w:szCs w:val="24"/>
        </w:rPr>
      </w:pPr>
      <w:r w:rsidRPr="00E819AA">
        <w:rPr>
          <w:rFonts w:ascii="Arial" w:hAnsi="Arial" w:cs="Arial"/>
          <w:sz w:val="24"/>
          <w:szCs w:val="24"/>
        </w:rPr>
        <w:t>The [entity] shall:</w:t>
      </w:r>
    </w:p>
    <w:p w14:paraId="78193EFB" w14:textId="33C8815E" w:rsidR="00A206C6" w:rsidRPr="00A206C6" w:rsidRDefault="00A206C6" w:rsidP="00A206C6">
      <w:pPr>
        <w:numPr>
          <w:ilvl w:val="1"/>
          <w:numId w:val="33"/>
        </w:numPr>
        <w:spacing w:after="120" w:line="240" w:lineRule="auto"/>
        <w:ind w:left="806" w:right="446"/>
        <w:jc w:val="both"/>
        <w:rPr>
          <w:rFonts w:ascii="Arial" w:hAnsi="Arial" w:cs="Arial"/>
          <w:sz w:val="24"/>
          <w:szCs w:val="24"/>
        </w:rPr>
      </w:pPr>
      <w:r w:rsidRPr="00A206C6">
        <w:rPr>
          <w:rFonts w:ascii="Arial" w:hAnsi="Arial" w:cs="Arial"/>
          <w:sz w:val="24"/>
          <w:szCs w:val="24"/>
        </w:rPr>
        <w:t>Develop, document, and disseminate to [entity defined personnel or roles]:</w:t>
      </w:r>
    </w:p>
    <w:p w14:paraId="45C24272" w14:textId="1CBB891A" w:rsidR="00A206C6" w:rsidRPr="00A206C6" w:rsidRDefault="00A206C6" w:rsidP="00A206C6">
      <w:pPr>
        <w:numPr>
          <w:ilvl w:val="0"/>
          <w:numId w:val="42"/>
        </w:numPr>
        <w:spacing w:after="120" w:line="240" w:lineRule="auto"/>
        <w:ind w:right="446"/>
        <w:jc w:val="both"/>
        <w:rPr>
          <w:rFonts w:ascii="Arial" w:hAnsi="Arial" w:cs="Arial"/>
          <w:sz w:val="24"/>
          <w:szCs w:val="24"/>
        </w:rPr>
      </w:pPr>
      <w:r w:rsidRPr="00A206C6">
        <w:rPr>
          <w:rFonts w:ascii="Arial" w:hAnsi="Arial" w:cs="Arial"/>
          <w:sz w:val="24"/>
          <w:szCs w:val="24"/>
        </w:rPr>
        <w:t>A security assessment and authorization policy that addresses purpose, scope, roles, responsibilities, management commitment, coordination among organizational entities, and compliance.</w:t>
      </w:r>
    </w:p>
    <w:p w14:paraId="4864B459" w14:textId="265EB4B9" w:rsidR="00A206C6" w:rsidRPr="00A206C6" w:rsidRDefault="00A206C6" w:rsidP="00A206C6">
      <w:pPr>
        <w:numPr>
          <w:ilvl w:val="0"/>
          <w:numId w:val="42"/>
        </w:numPr>
        <w:spacing w:after="120" w:line="240" w:lineRule="auto"/>
        <w:ind w:right="446"/>
        <w:jc w:val="both"/>
        <w:rPr>
          <w:rFonts w:ascii="Arial" w:hAnsi="Arial" w:cs="Arial"/>
          <w:sz w:val="24"/>
          <w:szCs w:val="24"/>
        </w:rPr>
      </w:pPr>
      <w:r w:rsidRPr="00A206C6">
        <w:rPr>
          <w:rFonts w:ascii="Arial" w:hAnsi="Arial" w:cs="Arial"/>
          <w:sz w:val="24"/>
          <w:szCs w:val="24"/>
        </w:rPr>
        <w:lastRenderedPageBreak/>
        <w:t>Procedures to facilitate the implementation of the security assessment and authorization policy and associated security assessment and authorization controls.</w:t>
      </w:r>
    </w:p>
    <w:p w14:paraId="252F6240" w14:textId="0A6C5114" w:rsidR="0075131B" w:rsidRPr="0010168A" w:rsidRDefault="00A206C6" w:rsidP="00587924">
      <w:pPr>
        <w:numPr>
          <w:ilvl w:val="1"/>
          <w:numId w:val="33"/>
        </w:numPr>
        <w:spacing w:line="240" w:lineRule="auto"/>
        <w:ind w:left="810" w:right="446"/>
        <w:jc w:val="both"/>
        <w:rPr>
          <w:rFonts w:ascii="Arial" w:hAnsi="Arial" w:cs="Arial"/>
          <w:sz w:val="24"/>
          <w:szCs w:val="24"/>
        </w:rPr>
      </w:pPr>
      <w:r w:rsidRPr="00A206C6">
        <w:rPr>
          <w:rFonts w:ascii="Arial" w:hAnsi="Arial" w:cs="Arial"/>
          <w:sz w:val="24"/>
          <w:szCs w:val="24"/>
        </w:rPr>
        <w:t>Review and update the current security assessment and authorization policy and procedures [entity defined frequency].</w:t>
      </w:r>
    </w:p>
    <w:p w14:paraId="59D9B0ED" w14:textId="3649CDA6" w:rsidR="00A206C6" w:rsidRPr="00A206C6" w:rsidRDefault="00A206C6" w:rsidP="00A206C6">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Assessments</w:t>
      </w:r>
    </w:p>
    <w:p w14:paraId="404E551D" w14:textId="486335B1" w:rsidR="00A206C6" w:rsidRPr="00A206C6" w:rsidRDefault="00A206C6" w:rsidP="00A206C6">
      <w:pPr>
        <w:spacing w:after="120" w:line="240" w:lineRule="auto"/>
        <w:ind w:left="86" w:right="446" w:firstLine="360"/>
        <w:jc w:val="both"/>
        <w:rPr>
          <w:rFonts w:ascii="Arial" w:hAnsi="Arial" w:cs="Arial"/>
          <w:sz w:val="24"/>
          <w:szCs w:val="24"/>
        </w:rPr>
      </w:pPr>
      <w:r w:rsidRPr="00E819AA">
        <w:rPr>
          <w:rFonts w:ascii="Arial" w:hAnsi="Arial" w:cs="Arial"/>
          <w:sz w:val="24"/>
          <w:szCs w:val="24"/>
        </w:rPr>
        <w:t>The [entity] shall:</w:t>
      </w:r>
    </w:p>
    <w:p w14:paraId="0F5DC7A1" w14:textId="73618D99" w:rsidR="0075131B" w:rsidRDefault="00A206C6" w:rsidP="00587924">
      <w:pPr>
        <w:numPr>
          <w:ilvl w:val="0"/>
          <w:numId w:val="32"/>
        </w:numPr>
        <w:spacing w:after="120" w:line="240" w:lineRule="auto"/>
        <w:ind w:left="806" w:right="446"/>
        <w:jc w:val="both"/>
        <w:rPr>
          <w:rFonts w:ascii="Arial" w:hAnsi="Arial" w:cs="Arial"/>
          <w:sz w:val="24"/>
          <w:szCs w:val="24"/>
        </w:rPr>
      </w:pPr>
      <w:r w:rsidRPr="00A206C6">
        <w:rPr>
          <w:rFonts w:ascii="Arial" w:hAnsi="Arial" w:cs="Arial"/>
          <w:sz w:val="24"/>
          <w:szCs w:val="24"/>
        </w:rPr>
        <w:t>Develop a security assessment plan that describes the scope of the assessment including:</w:t>
      </w:r>
    </w:p>
    <w:p w14:paraId="2E8BAB5E" w14:textId="33587EFA" w:rsidR="00A206C6" w:rsidRPr="00A206C6" w:rsidRDefault="00A206C6" w:rsidP="00A206C6">
      <w:pPr>
        <w:numPr>
          <w:ilvl w:val="0"/>
          <w:numId w:val="43"/>
        </w:numPr>
        <w:spacing w:after="120" w:line="240" w:lineRule="auto"/>
        <w:ind w:right="446"/>
        <w:jc w:val="both"/>
        <w:rPr>
          <w:rFonts w:ascii="Arial" w:hAnsi="Arial" w:cs="Arial"/>
          <w:sz w:val="24"/>
          <w:szCs w:val="24"/>
        </w:rPr>
      </w:pPr>
      <w:r w:rsidRPr="00A206C6">
        <w:rPr>
          <w:rFonts w:ascii="Arial" w:hAnsi="Arial" w:cs="Arial"/>
          <w:sz w:val="24"/>
          <w:szCs w:val="24"/>
        </w:rPr>
        <w:t>Security controls and control enhancements under assessment.</w:t>
      </w:r>
    </w:p>
    <w:p w14:paraId="3F3A07CB" w14:textId="13728C85" w:rsidR="00A206C6" w:rsidRDefault="00A206C6" w:rsidP="00A206C6">
      <w:pPr>
        <w:numPr>
          <w:ilvl w:val="0"/>
          <w:numId w:val="43"/>
        </w:numPr>
        <w:spacing w:after="120" w:line="240" w:lineRule="auto"/>
        <w:ind w:right="446"/>
        <w:jc w:val="both"/>
        <w:rPr>
          <w:rFonts w:ascii="Arial" w:hAnsi="Arial" w:cs="Arial"/>
          <w:sz w:val="24"/>
          <w:szCs w:val="24"/>
        </w:rPr>
      </w:pPr>
      <w:r w:rsidRPr="00A206C6">
        <w:rPr>
          <w:rFonts w:ascii="Arial" w:hAnsi="Arial" w:cs="Arial"/>
          <w:sz w:val="24"/>
          <w:szCs w:val="24"/>
        </w:rPr>
        <w:t>Assessment procedures to be used to determine security control effectiveness.</w:t>
      </w:r>
    </w:p>
    <w:p w14:paraId="4BCA07AC" w14:textId="3CD0F52C" w:rsidR="00A206C6" w:rsidRPr="00A206C6" w:rsidRDefault="00A206C6" w:rsidP="00A206C6">
      <w:pPr>
        <w:numPr>
          <w:ilvl w:val="0"/>
          <w:numId w:val="43"/>
        </w:numPr>
        <w:spacing w:after="120" w:line="240" w:lineRule="auto"/>
        <w:ind w:right="446"/>
        <w:jc w:val="both"/>
        <w:rPr>
          <w:rFonts w:ascii="Arial" w:hAnsi="Arial" w:cs="Arial"/>
          <w:sz w:val="24"/>
          <w:szCs w:val="24"/>
        </w:rPr>
      </w:pPr>
      <w:r w:rsidRPr="00A206C6">
        <w:rPr>
          <w:rFonts w:ascii="Arial" w:hAnsi="Arial" w:cs="Arial"/>
          <w:sz w:val="24"/>
          <w:szCs w:val="24"/>
        </w:rPr>
        <w:t>Assessment environment, assessment team, and assessment roles and responsibilities.</w:t>
      </w:r>
    </w:p>
    <w:p w14:paraId="1BC02DE1" w14:textId="105D4BFE" w:rsidR="0075131B" w:rsidRDefault="00A206C6" w:rsidP="00587924">
      <w:pPr>
        <w:numPr>
          <w:ilvl w:val="0"/>
          <w:numId w:val="32"/>
        </w:numPr>
        <w:spacing w:line="240" w:lineRule="auto"/>
        <w:ind w:left="810" w:right="446"/>
        <w:jc w:val="both"/>
        <w:rPr>
          <w:rFonts w:ascii="Arial" w:hAnsi="Arial" w:cs="Arial"/>
          <w:sz w:val="24"/>
          <w:szCs w:val="24"/>
        </w:rPr>
      </w:pPr>
      <w:r w:rsidRPr="00A206C6">
        <w:rPr>
          <w:rFonts w:ascii="Arial" w:hAnsi="Arial" w:cs="Arial"/>
          <w:sz w:val="24"/>
          <w:szCs w:val="24"/>
        </w:rPr>
        <w:t>Assess the security controls in the information system and its environment of operation [entity defined frequency] to determine the extent to which the controls are implemented correctly, operating as intended, and producing the desired outcome with respect to meeting established security requirements.</w:t>
      </w:r>
    </w:p>
    <w:p w14:paraId="33E93466" w14:textId="248773F7" w:rsidR="00A206C6" w:rsidRDefault="00A206C6" w:rsidP="00587924">
      <w:pPr>
        <w:numPr>
          <w:ilvl w:val="0"/>
          <w:numId w:val="32"/>
        </w:numPr>
        <w:spacing w:line="240" w:lineRule="auto"/>
        <w:ind w:left="810" w:right="446"/>
        <w:jc w:val="both"/>
        <w:rPr>
          <w:rFonts w:ascii="Arial" w:hAnsi="Arial" w:cs="Arial"/>
          <w:sz w:val="24"/>
          <w:szCs w:val="24"/>
        </w:rPr>
      </w:pPr>
      <w:r w:rsidRPr="00A206C6">
        <w:rPr>
          <w:rFonts w:ascii="Arial" w:hAnsi="Arial" w:cs="Arial"/>
          <w:sz w:val="24"/>
          <w:szCs w:val="24"/>
        </w:rPr>
        <w:t>Produce a security assessment report that documents the results of the assessment.</w:t>
      </w:r>
    </w:p>
    <w:p w14:paraId="58830971" w14:textId="03A42147" w:rsidR="00A206C6" w:rsidRPr="0010168A" w:rsidRDefault="00A206C6" w:rsidP="00587924">
      <w:pPr>
        <w:numPr>
          <w:ilvl w:val="0"/>
          <w:numId w:val="32"/>
        </w:numPr>
        <w:spacing w:line="240" w:lineRule="auto"/>
        <w:ind w:left="810" w:right="446"/>
        <w:jc w:val="both"/>
        <w:rPr>
          <w:rFonts w:ascii="Arial" w:hAnsi="Arial" w:cs="Arial"/>
          <w:sz w:val="24"/>
          <w:szCs w:val="24"/>
        </w:rPr>
      </w:pPr>
      <w:r w:rsidRPr="00A206C6">
        <w:rPr>
          <w:rFonts w:ascii="Arial" w:hAnsi="Arial" w:cs="Arial"/>
          <w:sz w:val="24"/>
          <w:szCs w:val="24"/>
        </w:rPr>
        <w:t>Provide the results of the security control assessment to [entity defined individuals or roles].</w:t>
      </w:r>
    </w:p>
    <w:p w14:paraId="36ACC1AB" w14:textId="78FE1F84" w:rsidR="00AB6B64" w:rsidRDefault="00A206C6"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System Interconnections</w:t>
      </w:r>
    </w:p>
    <w:p w14:paraId="154CC71E" w14:textId="4F76C42E" w:rsidR="00A206C6" w:rsidRPr="00A206C6" w:rsidRDefault="00A206C6" w:rsidP="00A206C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1C8E880D" w14:textId="38763EED" w:rsidR="0075131B" w:rsidRPr="0010168A" w:rsidRDefault="00A206C6" w:rsidP="00587924">
      <w:pPr>
        <w:numPr>
          <w:ilvl w:val="0"/>
          <w:numId w:val="34"/>
        </w:numPr>
        <w:spacing w:after="120" w:line="240" w:lineRule="auto"/>
        <w:ind w:left="806" w:right="446"/>
        <w:jc w:val="both"/>
        <w:rPr>
          <w:rFonts w:ascii="Arial" w:hAnsi="Arial" w:cs="Arial"/>
          <w:sz w:val="24"/>
          <w:szCs w:val="24"/>
        </w:rPr>
      </w:pPr>
      <w:r w:rsidRPr="00A206C6">
        <w:rPr>
          <w:rFonts w:ascii="Arial" w:hAnsi="Arial" w:cs="Arial"/>
          <w:sz w:val="24"/>
          <w:szCs w:val="24"/>
        </w:rPr>
        <w:t xml:space="preserve">Authorize connections from the information system to other information systems </w:t>
      </w:r>
      <w:proofErr w:type="gramStart"/>
      <w:r w:rsidRPr="00A206C6">
        <w:rPr>
          <w:rFonts w:ascii="Arial" w:hAnsi="Arial" w:cs="Arial"/>
          <w:sz w:val="24"/>
          <w:szCs w:val="24"/>
        </w:rPr>
        <w:t>through the use of</w:t>
      </w:r>
      <w:proofErr w:type="gramEnd"/>
      <w:r w:rsidRPr="00A206C6">
        <w:rPr>
          <w:rFonts w:ascii="Arial" w:hAnsi="Arial" w:cs="Arial"/>
          <w:sz w:val="24"/>
          <w:szCs w:val="24"/>
        </w:rPr>
        <w:t xml:space="preserve"> Interconnection Security Agreements.</w:t>
      </w:r>
    </w:p>
    <w:p w14:paraId="230626C7" w14:textId="2BCC2A58" w:rsidR="0075131B" w:rsidRPr="0010168A" w:rsidRDefault="00C611C5" w:rsidP="00587924">
      <w:pPr>
        <w:numPr>
          <w:ilvl w:val="0"/>
          <w:numId w:val="34"/>
        </w:numPr>
        <w:spacing w:after="120" w:line="240" w:lineRule="auto"/>
        <w:ind w:left="806" w:right="446"/>
        <w:jc w:val="both"/>
        <w:rPr>
          <w:rFonts w:ascii="Arial" w:hAnsi="Arial" w:cs="Arial"/>
          <w:sz w:val="24"/>
          <w:szCs w:val="24"/>
        </w:rPr>
      </w:pPr>
      <w:r w:rsidRPr="00C611C5">
        <w:rPr>
          <w:rFonts w:ascii="Arial" w:hAnsi="Arial" w:cs="Arial"/>
          <w:sz w:val="24"/>
          <w:szCs w:val="24"/>
        </w:rPr>
        <w:t>Document, for each interconnection, the interface characteristics, security requirements, and the nature of the information communicated.</w:t>
      </w:r>
    </w:p>
    <w:p w14:paraId="2F56060E" w14:textId="0DB8ACCF" w:rsidR="0075131B" w:rsidRDefault="00C611C5" w:rsidP="00750B3D">
      <w:pPr>
        <w:numPr>
          <w:ilvl w:val="0"/>
          <w:numId w:val="34"/>
        </w:numPr>
        <w:spacing w:line="240" w:lineRule="auto"/>
        <w:ind w:left="810" w:right="446"/>
        <w:jc w:val="both"/>
        <w:rPr>
          <w:rFonts w:ascii="Arial" w:hAnsi="Arial" w:cs="Arial"/>
          <w:sz w:val="24"/>
          <w:szCs w:val="24"/>
        </w:rPr>
      </w:pPr>
      <w:r w:rsidRPr="00C611C5">
        <w:rPr>
          <w:rFonts w:ascii="Arial" w:hAnsi="Arial" w:cs="Arial"/>
          <w:sz w:val="24"/>
          <w:szCs w:val="24"/>
        </w:rPr>
        <w:t>Review and update Interconnection Security Agreements [entity defined frequency</w:t>
      </w:r>
      <w:proofErr w:type="gramStart"/>
      <w:r w:rsidRPr="00C611C5">
        <w:rPr>
          <w:rFonts w:ascii="Arial" w:hAnsi="Arial" w:cs="Arial"/>
          <w:sz w:val="24"/>
          <w:szCs w:val="24"/>
        </w:rPr>
        <w:t>].</w:t>
      </w:r>
      <w:r w:rsidR="0074416F" w:rsidRPr="00C611C5">
        <w:rPr>
          <w:rFonts w:ascii="Arial" w:hAnsi="Arial" w:cs="Arial"/>
          <w:sz w:val="24"/>
          <w:szCs w:val="24"/>
        </w:rPr>
        <w:t>Entities</w:t>
      </w:r>
      <w:proofErr w:type="gramEnd"/>
      <w:r w:rsidR="0075131B" w:rsidRPr="00C611C5">
        <w:rPr>
          <w:rFonts w:ascii="Arial" w:hAnsi="Arial" w:cs="Arial"/>
          <w:sz w:val="24"/>
          <w:szCs w:val="24"/>
        </w:rPr>
        <w:t xml:space="preserve"> must establish processes for the establishment, operation and, as appropriate, integration of log management systems.</w:t>
      </w:r>
    </w:p>
    <w:p w14:paraId="6BA67C3D" w14:textId="62F0A0E1" w:rsidR="00C611C5" w:rsidRPr="00C611C5" w:rsidRDefault="00C611C5" w:rsidP="00750B3D">
      <w:pPr>
        <w:numPr>
          <w:ilvl w:val="0"/>
          <w:numId w:val="34"/>
        </w:numPr>
        <w:spacing w:line="240" w:lineRule="auto"/>
        <w:ind w:left="810" w:right="446"/>
        <w:jc w:val="both"/>
        <w:rPr>
          <w:rFonts w:ascii="Arial" w:hAnsi="Arial" w:cs="Arial"/>
          <w:sz w:val="24"/>
          <w:szCs w:val="24"/>
        </w:rPr>
      </w:pPr>
      <w:r w:rsidRPr="00C611C5">
        <w:rPr>
          <w:rFonts w:ascii="Arial" w:hAnsi="Arial" w:cs="Arial"/>
          <w:sz w:val="24"/>
          <w:szCs w:val="24"/>
        </w:rPr>
        <w:t>Employ an allow-all, deny-by-exception, deny-all, permit-by-exception, policy for allowing [entity defined information systems] to connect to external information systems.</w:t>
      </w:r>
    </w:p>
    <w:p w14:paraId="12331D1B" w14:textId="47955F4B" w:rsidR="0075131B" w:rsidRPr="0010168A" w:rsidRDefault="00A206C6"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Plan of Action and Milestones</w:t>
      </w:r>
    </w:p>
    <w:p w14:paraId="07E1BBF5" w14:textId="77777777" w:rsidR="00C611C5" w:rsidRPr="00A206C6"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The [entity] shall:</w:t>
      </w:r>
    </w:p>
    <w:p w14:paraId="58238E53" w14:textId="5A957C0D" w:rsidR="00C611C5" w:rsidRDefault="00C611C5" w:rsidP="00587924">
      <w:pPr>
        <w:numPr>
          <w:ilvl w:val="0"/>
          <w:numId w:val="35"/>
        </w:numPr>
        <w:spacing w:after="120" w:line="240" w:lineRule="auto"/>
        <w:ind w:left="806" w:right="446"/>
        <w:jc w:val="both"/>
        <w:rPr>
          <w:rFonts w:ascii="Arial" w:hAnsi="Arial" w:cs="Arial"/>
          <w:sz w:val="24"/>
          <w:szCs w:val="24"/>
        </w:rPr>
      </w:pPr>
      <w:r w:rsidRPr="00C611C5">
        <w:rPr>
          <w:rFonts w:ascii="Arial" w:hAnsi="Arial" w:cs="Arial"/>
          <w:sz w:val="24"/>
          <w:szCs w:val="24"/>
        </w:rPr>
        <w:lastRenderedPageBreak/>
        <w:t>Develop a plan of action and milestones for the information system to document the planned remedial actions to correct weaknesses or deficiencies noted during the assessment of the security controls and to reduce or eliminate known vulnerabilities in the system.</w:t>
      </w:r>
    </w:p>
    <w:p w14:paraId="4DF05C5D" w14:textId="3B32DBB4" w:rsidR="0075131B" w:rsidRPr="0010168A" w:rsidRDefault="00C611C5" w:rsidP="00587924">
      <w:pPr>
        <w:numPr>
          <w:ilvl w:val="0"/>
          <w:numId w:val="35"/>
        </w:numPr>
        <w:spacing w:after="120" w:line="240" w:lineRule="auto"/>
        <w:ind w:left="806" w:right="446"/>
        <w:jc w:val="both"/>
        <w:rPr>
          <w:rFonts w:ascii="Arial" w:hAnsi="Arial" w:cs="Arial"/>
          <w:sz w:val="24"/>
          <w:szCs w:val="24"/>
        </w:rPr>
      </w:pPr>
      <w:r w:rsidRPr="00C611C5">
        <w:rPr>
          <w:rFonts w:ascii="Arial" w:hAnsi="Arial" w:cs="Arial"/>
          <w:sz w:val="24"/>
          <w:szCs w:val="24"/>
        </w:rPr>
        <w:t>Update existing plan of action and milestones [entity defined frequency] based on the findings from security controls assessments, security impact analyses, and continuous monitoring activities.</w:t>
      </w:r>
    </w:p>
    <w:p w14:paraId="6F908783" w14:textId="2CC2966A" w:rsidR="0075131B" w:rsidRDefault="00A206C6"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Authorization</w:t>
      </w:r>
    </w:p>
    <w:p w14:paraId="1D8EB3E4" w14:textId="7B0B82BC" w:rsidR="00C611C5" w:rsidRPr="00C611C5"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The [entity] shall:</w:t>
      </w:r>
    </w:p>
    <w:p w14:paraId="16AB90C6" w14:textId="3C89C618" w:rsidR="0075131B" w:rsidRPr="0010168A" w:rsidRDefault="00C611C5" w:rsidP="00587924">
      <w:pPr>
        <w:numPr>
          <w:ilvl w:val="0"/>
          <w:numId w:val="36"/>
        </w:numPr>
        <w:spacing w:after="120" w:line="240" w:lineRule="auto"/>
        <w:ind w:left="806" w:right="446"/>
        <w:jc w:val="both"/>
        <w:rPr>
          <w:rFonts w:ascii="Arial" w:hAnsi="Arial" w:cs="Arial"/>
          <w:sz w:val="24"/>
          <w:szCs w:val="24"/>
        </w:rPr>
      </w:pPr>
      <w:r w:rsidRPr="00C611C5">
        <w:rPr>
          <w:rFonts w:ascii="Arial" w:hAnsi="Arial" w:cs="Arial"/>
          <w:sz w:val="24"/>
          <w:szCs w:val="24"/>
        </w:rPr>
        <w:t>Assign a senior-level executive or manager as the authorizing official for the information system.</w:t>
      </w:r>
    </w:p>
    <w:p w14:paraId="4EDDA9DC" w14:textId="2F7DC064" w:rsidR="0075131B" w:rsidRPr="0010168A" w:rsidRDefault="00C611C5" w:rsidP="00587924">
      <w:pPr>
        <w:numPr>
          <w:ilvl w:val="0"/>
          <w:numId w:val="36"/>
        </w:numPr>
        <w:spacing w:after="120" w:line="240" w:lineRule="auto"/>
        <w:ind w:left="806" w:right="446"/>
        <w:jc w:val="both"/>
        <w:rPr>
          <w:rFonts w:ascii="Arial" w:hAnsi="Arial" w:cs="Arial"/>
          <w:sz w:val="24"/>
          <w:szCs w:val="24"/>
        </w:rPr>
      </w:pPr>
      <w:r w:rsidRPr="00C611C5">
        <w:rPr>
          <w:rFonts w:ascii="Arial" w:hAnsi="Arial" w:cs="Arial"/>
          <w:sz w:val="24"/>
          <w:szCs w:val="24"/>
        </w:rPr>
        <w:t>Ensure that the authorizing official authorizes the information system for processing before commencing operations.</w:t>
      </w:r>
    </w:p>
    <w:p w14:paraId="28CA4406" w14:textId="3BBA4889" w:rsidR="0075131B" w:rsidRDefault="00C611C5" w:rsidP="00587924">
      <w:pPr>
        <w:numPr>
          <w:ilvl w:val="0"/>
          <w:numId w:val="36"/>
        </w:numPr>
        <w:spacing w:line="240" w:lineRule="auto"/>
        <w:ind w:left="810" w:right="446"/>
        <w:jc w:val="both"/>
        <w:rPr>
          <w:rFonts w:ascii="Arial" w:hAnsi="Arial" w:cs="Arial"/>
          <w:sz w:val="24"/>
          <w:szCs w:val="24"/>
        </w:rPr>
      </w:pPr>
      <w:r w:rsidRPr="00C611C5">
        <w:rPr>
          <w:rFonts w:ascii="Arial" w:hAnsi="Arial" w:cs="Arial"/>
          <w:sz w:val="24"/>
          <w:szCs w:val="24"/>
        </w:rPr>
        <w:t>Update the security authorization [entity defined frequency].</w:t>
      </w:r>
    </w:p>
    <w:p w14:paraId="71BB8C72" w14:textId="01D164BD" w:rsidR="00C611C5" w:rsidRPr="00C611C5" w:rsidRDefault="00A206C6" w:rsidP="00C611C5">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4.6</w:t>
      </w:r>
      <w:r>
        <w:rPr>
          <w:rFonts w:ascii="Arial" w:hAnsi="Arial" w:cs="Arial"/>
          <w:color w:val="000000" w:themeColor="text1"/>
          <w:sz w:val="24"/>
          <w:szCs w:val="24"/>
        </w:rPr>
        <w:tab/>
      </w:r>
      <w:r w:rsidR="00C611C5">
        <w:rPr>
          <w:rFonts w:ascii="Arial" w:hAnsi="Arial" w:cs="Arial"/>
          <w:color w:val="000000" w:themeColor="text1"/>
          <w:sz w:val="24"/>
          <w:szCs w:val="24"/>
        </w:rPr>
        <w:t>Continuous Monitoring</w:t>
      </w:r>
    </w:p>
    <w:p w14:paraId="354CC7E6" w14:textId="77777777" w:rsidR="00C611C5" w:rsidRPr="00A206C6"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7A72BFF0" w14:textId="0F4DF8BB" w:rsidR="00C611C5" w:rsidRPr="00C611C5" w:rsidRDefault="00C611C5" w:rsidP="00C611C5">
      <w:pPr>
        <w:numPr>
          <w:ilvl w:val="0"/>
          <w:numId w:val="40"/>
        </w:numPr>
        <w:spacing w:after="120" w:line="240" w:lineRule="auto"/>
        <w:ind w:right="446"/>
        <w:jc w:val="both"/>
        <w:rPr>
          <w:rFonts w:ascii="Arial" w:hAnsi="Arial" w:cs="Arial"/>
          <w:sz w:val="24"/>
          <w:szCs w:val="24"/>
        </w:rPr>
      </w:pPr>
      <w:r w:rsidRPr="00C611C5">
        <w:rPr>
          <w:rFonts w:ascii="Arial" w:hAnsi="Arial" w:cs="Arial"/>
          <w:sz w:val="24"/>
          <w:szCs w:val="24"/>
        </w:rPr>
        <w:t>Develop a continuous monitoring strategy and implement a continuous monitoring program that includes:</w:t>
      </w:r>
    </w:p>
    <w:p w14:paraId="44A7534F" w14:textId="74C38AEB" w:rsidR="00C611C5" w:rsidRPr="00A206C6"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Establishment of [entity defined metrics] to be monitored.</w:t>
      </w:r>
    </w:p>
    <w:p w14:paraId="6233CDA5" w14:textId="39974622"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Establishment of [entity defined frequencies] for monitoring and [entity defined frequencies] for assessments supporting such monitoring.</w:t>
      </w:r>
    </w:p>
    <w:p w14:paraId="78652BDF" w14:textId="2BA490DC"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Ongoing security control assessments in accordance with the organizational continuous monitoring strategy.</w:t>
      </w:r>
    </w:p>
    <w:p w14:paraId="755AE10F" w14:textId="3D84F4B2"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Ongoing security status monitoring of organization-defined metrics in accordance with the organizational continuous monitoring strategy.</w:t>
      </w:r>
    </w:p>
    <w:p w14:paraId="14021408" w14:textId="1BC3635A"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Correlation and analysis of security-related information generated by assessments and monitoring.</w:t>
      </w:r>
    </w:p>
    <w:p w14:paraId="436F8F8A" w14:textId="6E7F7085" w:rsid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Response actions to address results of the analysis of security-related information.</w:t>
      </w:r>
    </w:p>
    <w:p w14:paraId="1BB34B33" w14:textId="4786DA4D" w:rsidR="00C611C5" w:rsidRPr="00C611C5" w:rsidRDefault="00C611C5" w:rsidP="00C611C5">
      <w:pPr>
        <w:numPr>
          <w:ilvl w:val="0"/>
          <w:numId w:val="44"/>
        </w:numPr>
        <w:spacing w:after="120" w:line="240" w:lineRule="auto"/>
        <w:ind w:right="446"/>
        <w:jc w:val="both"/>
        <w:rPr>
          <w:rFonts w:ascii="Arial" w:hAnsi="Arial" w:cs="Arial"/>
          <w:sz w:val="24"/>
          <w:szCs w:val="24"/>
        </w:rPr>
      </w:pPr>
      <w:r w:rsidRPr="00C611C5">
        <w:rPr>
          <w:rFonts w:ascii="Arial" w:hAnsi="Arial" w:cs="Arial"/>
          <w:sz w:val="24"/>
          <w:szCs w:val="24"/>
        </w:rPr>
        <w:t>Reporting the security status of organization and the information system to [entity defined personnel or roles] [entity defined frequency].</w:t>
      </w:r>
    </w:p>
    <w:p w14:paraId="1E87E8B8" w14:textId="6A542A99" w:rsidR="00C611C5" w:rsidRPr="00C611C5" w:rsidRDefault="00C611C5" w:rsidP="00C611C5">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7</w:t>
      </w:r>
      <w:r>
        <w:rPr>
          <w:rFonts w:ascii="Arial" w:hAnsi="Arial" w:cs="Arial"/>
          <w:color w:val="000000" w:themeColor="text1"/>
          <w:sz w:val="24"/>
          <w:szCs w:val="24"/>
        </w:rPr>
        <w:tab/>
        <w:t>Continuous Monitoring</w:t>
      </w:r>
    </w:p>
    <w:p w14:paraId="29FB9F53" w14:textId="731F9AF0" w:rsidR="00C611C5" w:rsidRPr="00C611C5"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2E818CD6" w14:textId="5C0A0FE9" w:rsidR="00A206C6" w:rsidRPr="00C611C5" w:rsidRDefault="00C611C5" w:rsidP="001B0F58">
      <w:pPr>
        <w:numPr>
          <w:ilvl w:val="0"/>
          <w:numId w:val="41"/>
        </w:numPr>
        <w:spacing w:after="120" w:line="240" w:lineRule="auto"/>
        <w:ind w:right="446"/>
        <w:jc w:val="both"/>
        <w:rPr>
          <w:rFonts w:ascii="Arial" w:hAnsi="Arial" w:cs="Arial"/>
          <w:sz w:val="24"/>
          <w:szCs w:val="24"/>
        </w:rPr>
      </w:pPr>
      <w:r w:rsidRPr="00C611C5">
        <w:rPr>
          <w:rFonts w:ascii="Arial" w:hAnsi="Arial" w:cs="Arial"/>
          <w:sz w:val="24"/>
          <w:szCs w:val="24"/>
        </w:rPr>
        <w:t>Authorize internal connections of [entity defined information system components or classes of components] to the information system.</w:t>
      </w:r>
    </w:p>
    <w:p w14:paraId="6022287E" w14:textId="3BFCF769" w:rsidR="00A206C6" w:rsidRPr="00C611C5" w:rsidRDefault="00C611C5" w:rsidP="00A206C6">
      <w:pPr>
        <w:numPr>
          <w:ilvl w:val="0"/>
          <w:numId w:val="41"/>
        </w:numPr>
        <w:spacing w:line="240" w:lineRule="auto"/>
        <w:ind w:right="446"/>
        <w:jc w:val="both"/>
        <w:rPr>
          <w:rFonts w:ascii="Arial" w:hAnsi="Arial" w:cs="Arial"/>
          <w:sz w:val="24"/>
          <w:szCs w:val="24"/>
        </w:rPr>
      </w:pPr>
      <w:r w:rsidRPr="00C611C5">
        <w:rPr>
          <w:rFonts w:ascii="Arial" w:hAnsi="Arial" w:cs="Arial"/>
          <w:sz w:val="24"/>
          <w:szCs w:val="24"/>
        </w:rPr>
        <w:t>Document, for each internal connection, the interface characteristics, security requirements, and the nature of the information communicated</w:t>
      </w:r>
      <w:r>
        <w:rPr>
          <w:rFonts w:ascii="Arial" w:hAnsi="Arial" w:cs="Arial"/>
          <w:sz w:val="24"/>
          <w:szCs w:val="24"/>
        </w:rPr>
        <w:t>.</w:t>
      </w:r>
    </w:p>
    <w:p w14:paraId="72A0719E" w14:textId="77777777" w:rsidR="00FD26A2" w:rsidRPr="00B81B99" w:rsidRDefault="00AF069C" w:rsidP="00B81B99">
      <w:pPr>
        <w:pStyle w:val="Heading1"/>
        <w:rPr>
          <w:color w:val="auto"/>
        </w:rPr>
      </w:pPr>
      <w:r w:rsidRPr="00B81B99">
        <w:rPr>
          <w:color w:val="auto"/>
        </w:rPr>
        <w:lastRenderedPageBreak/>
        <w:t>5.0 Compliance</w:t>
      </w:r>
    </w:p>
    <w:p w14:paraId="1033B9A1" w14:textId="684ADBEB"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4E49E9">
        <w:rPr>
          <w:rFonts w:ascii="Arial" w:hAnsi="Arial" w:cs="Arial"/>
          <w:sz w:val="24"/>
          <w:szCs w:val="24"/>
        </w:rPr>
        <w:t>Entities</w:t>
      </w:r>
      <w:r w:rsidRPr="00705317">
        <w:rPr>
          <w:rFonts w:ascii="Arial" w:hAnsi="Arial" w:cs="Arial"/>
          <w:sz w:val="24"/>
          <w:szCs w:val="24"/>
        </w:rPr>
        <w:t xml:space="preserve"> may amend its policies and standards at any time; compliance with amended policies and standards is expected.</w:t>
      </w:r>
    </w:p>
    <w:p w14:paraId="2B651973" w14:textId="61C7C5CE"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4E49E9">
        <w:rPr>
          <w:rFonts w:ascii="Arial" w:hAnsi="Arial" w:cs="Arial"/>
          <w:sz w:val="24"/>
          <w:szCs w:val="24"/>
        </w:rPr>
        <w:t>entities</w:t>
      </w:r>
      <w:r w:rsidRPr="00896333">
        <w:rPr>
          <w:rFonts w:ascii="Arial" w:hAnsi="Arial" w:cs="Arial"/>
          <w:sz w:val="24"/>
          <w:szCs w:val="24"/>
        </w:rPr>
        <w:t xml:space="preserve"> shall request an exception through the </w:t>
      </w:r>
      <w:r w:rsidR="00DB71BF">
        <w:rPr>
          <w:rFonts w:ascii="Arial" w:hAnsi="Arial" w:cs="Arial"/>
          <w:sz w:val="24"/>
          <w:szCs w:val="24"/>
        </w:rPr>
        <w:t>Chief</w:t>
      </w:r>
      <w:r w:rsidRPr="00896333">
        <w:rPr>
          <w:rFonts w:ascii="Arial" w:hAnsi="Arial" w:cs="Arial"/>
          <w:sz w:val="24"/>
          <w:szCs w:val="24"/>
        </w:rPr>
        <w:t xml:space="preserve"> Information Security Office</w:t>
      </w:r>
      <w:r w:rsidR="004E49E9">
        <w:rPr>
          <w:rFonts w:ascii="Arial" w:hAnsi="Arial" w:cs="Arial"/>
          <w:sz w:val="24"/>
          <w:szCs w:val="24"/>
        </w:rPr>
        <w:t>r’s</w:t>
      </w:r>
      <w:r w:rsidRPr="00896333">
        <w:rPr>
          <w:rFonts w:ascii="Arial" w:hAnsi="Arial" w:cs="Arial"/>
          <w:sz w:val="24"/>
          <w:szCs w:val="24"/>
        </w:rPr>
        <w:t xml:space="preserve"> </w:t>
      </w:r>
      <w:r w:rsidRPr="00B81B99">
        <w:rPr>
          <w:rFonts w:ascii="Arial" w:hAnsi="Arial" w:cs="Arial"/>
          <w:sz w:val="24"/>
          <w:szCs w:val="24"/>
        </w:rPr>
        <w:t>exception process</w:t>
      </w:r>
      <w:r w:rsidRPr="00896333">
        <w:rPr>
          <w:rFonts w:ascii="Arial" w:hAnsi="Arial" w:cs="Arial"/>
          <w:sz w:val="24"/>
          <w:szCs w:val="24"/>
        </w:rPr>
        <w:t>.</w:t>
      </w:r>
    </w:p>
    <w:p w14:paraId="608E20F3" w14:textId="77777777"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304437D4" w14:textId="77777777" w:rsidR="00E819AA" w:rsidRDefault="0073036D" w:rsidP="00E819AA">
      <w:pPr>
        <w:autoSpaceDE w:val="0"/>
        <w:autoSpaceDN w:val="0"/>
        <w:adjustRightInd w:val="0"/>
        <w:ind w:right="450"/>
        <w:jc w:val="both"/>
        <w:rPr>
          <w:rFonts w:ascii="Arial" w:hAnsi="Arial" w:cs="Arial"/>
          <w:sz w:val="24"/>
          <w:szCs w:val="24"/>
        </w:rPr>
      </w:pPr>
      <w:r w:rsidRPr="00E819AA">
        <w:rPr>
          <w:rFonts w:ascii="Arial" w:hAnsi="Arial" w:cs="Arial"/>
          <w:sz w:val="24"/>
          <w:szCs w:val="24"/>
        </w:rPr>
        <w:t>NIST Special Publication 800-92, Guide to Computer Security Log Management</w:t>
      </w:r>
      <w:bookmarkStart w:id="2" w:name="AppendixA"/>
      <w:bookmarkEnd w:id="2"/>
    </w:p>
    <w:p w14:paraId="72825194" w14:textId="3AD2EFFC" w:rsidR="0073036D" w:rsidRDefault="00E819AA" w:rsidP="00E819AA">
      <w:pPr>
        <w:rPr>
          <w:rFonts w:ascii="Arial" w:hAnsi="Arial" w:cs="Arial"/>
          <w:sz w:val="24"/>
          <w:szCs w:val="24"/>
        </w:rPr>
      </w:pPr>
      <w:r w:rsidRPr="00E146C6">
        <w:rPr>
          <w:rFonts w:ascii="Arial" w:hAnsi="Arial" w:cs="Arial"/>
          <w:sz w:val="24"/>
          <w:szCs w:val="24"/>
          <w:shd w:val="clear" w:color="auto" w:fill="FFFFFF"/>
        </w:rPr>
        <w:t xml:space="preserve">National Institute of Standards and Technology (NIST) Special Publications (SP): </w:t>
      </w:r>
      <w:r w:rsidRPr="00E146C6">
        <w:rPr>
          <w:rFonts w:ascii="Arial" w:hAnsi="Arial" w:cs="Arial"/>
          <w:sz w:val="24"/>
          <w:szCs w:val="24"/>
        </w:rPr>
        <w:t>NIST SP 800-53a – Security Assessment and Authorization (CA), NIST SP 800-12, NIST SP 800-37, NIST SP 800-39, NIST SP 800-47, NIST SP 800-100, NIST SP 800-115, NIST SP 800-137;</w:t>
      </w:r>
      <w:r>
        <w:rPr>
          <w:rFonts w:ascii="Arial" w:hAnsi="Arial" w:cs="Arial"/>
          <w:sz w:val="24"/>
          <w:szCs w:val="24"/>
        </w:rPr>
        <w:t xml:space="preserve"> </w:t>
      </w:r>
      <w:r w:rsidRPr="00E146C6">
        <w:rPr>
          <w:rFonts w:ascii="Arial" w:hAnsi="Arial" w:cs="Arial"/>
          <w:sz w:val="24"/>
          <w:szCs w:val="24"/>
        </w:rPr>
        <w:t xml:space="preserve">NIST </w:t>
      </w:r>
      <w:r w:rsidRPr="00E146C6">
        <w:rPr>
          <w:rFonts w:ascii="Arial" w:hAnsi="Arial" w:cs="Arial"/>
          <w:sz w:val="24"/>
          <w:szCs w:val="24"/>
          <w:shd w:val="clear" w:color="auto" w:fill="FFFFFF"/>
        </w:rPr>
        <w:t>Federal Information Processing Standards (</w:t>
      </w:r>
      <w:r w:rsidRPr="00E146C6">
        <w:rPr>
          <w:rFonts w:ascii="Arial" w:hAnsi="Arial" w:cs="Arial"/>
          <w:sz w:val="24"/>
          <w:szCs w:val="24"/>
        </w:rPr>
        <w:t>FIPS) 199</w:t>
      </w:r>
    </w:p>
    <w:p w14:paraId="49C176AC" w14:textId="2F910DB3" w:rsidR="00C611C5" w:rsidRPr="00B81B99" w:rsidRDefault="00C611C5" w:rsidP="00C611C5">
      <w:pPr>
        <w:pStyle w:val="Heading1"/>
      </w:pPr>
      <w:r>
        <w:rPr>
          <w:color w:val="auto"/>
        </w:rPr>
        <w:t>10</w:t>
      </w:r>
      <w:r w:rsidRPr="00B81B99">
        <w:rPr>
          <w:color w:val="auto"/>
        </w:rPr>
        <w:t xml:space="preserve">.0 </w:t>
      </w:r>
      <w:r>
        <w:rPr>
          <w:color w:val="auto"/>
        </w:rPr>
        <w:t>Policy Exceptions</w:t>
      </w:r>
    </w:p>
    <w:p w14:paraId="1F0624E0" w14:textId="5B8F59C1" w:rsidR="00C611C5" w:rsidRPr="001C04B4" w:rsidRDefault="00C611C5" w:rsidP="00E819AA">
      <w:pPr>
        <w:rPr>
          <w:rFonts w:ascii="Arial" w:hAnsi="Arial" w:cs="Arial"/>
          <w:sz w:val="24"/>
          <w:szCs w:val="24"/>
        </w:rPr>
      </w:pPr>
      <w:r w:rsidRPr="00C611C5">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IT </w:t>
      </w:r>
      <w:r w:rsidRPr="00C611C5">
        <w:rPr>
          <w:rFonts w:ascii="Arial" w:hAnsi="Arial" w:cs="Arial"/>
          <w:sz w:val="24"/>
          <w:szCs w:val="24"/>
        </w:rPr>
        <w:lastRenderedPageBreak/>
        <w:t xml:space="preserve">Department, initiatives, actions and a </w:t>
      </w:r>
      <w:proofErr w:type="gramStart"/>
      <w:r w:rsidRPr="00C611C5">
        <w:rPr>
          <w:rFonts w:ascii="Arial" w:hAnsi="Arial" w:cs="Arial"/>
          <w:sz w:val="24"/>
          <w:szCs w:val="24"/>
        </w:rPr>
        <w:t>time-frame</w:t>
      </w:r>
      <w:proofErr w:type="gramEnd"/>
      <w:r w:rsidRPr="00C611C5">
        <w:rPr>
          <w:rFonts w:ascii="Arial" w:hAnsi="Arial" w:cs="Arial"/>
          <w:sz w:val="24"/>
          <w:szCs w:val="24"/>
        </w:rPr>
        <w:t xml:space="preserve"> for achieving the minimum compliance level with the policies set forth herein. The CIO shall review such requests. confer with the </w:t>
      </w:r>
      <w:proofErr w:type="gramStart"/>
      <w:r w:rsidRPr="00C611C5">
        <w:rPr>
          <w:rFonts w:ascii="Arial" w:hAnsi="Arial" w:cs="Arial"/>
          <w:sz w:val="24"/>
          <w:szCs w:val="24"/>
        </w:rPr>
        <w:t>requesting department</w:t>
      </w:r>
      <w:proofErr w:type="gramEnd"/>
      <w:r w:rsidRPr="00C611C5">
        <w:rPr>
          <w:rFonts w:ascii="Arial" w:hAnsi="Arial" w:cs="Arial"/>
          <w:sz w:val="24"/>
          <w:szCs w:val="24"/>
        </w:rPr>
        <w:t>.</w:t>
      </w:r>
    </w:p>
    <w:sectPr w:rsidR="00C611C5" w:rsidRPr="001C04B4"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9B8F5" w14:textId="77777777" w:rsidR="00EA0A59" w:rsidRDefault="00EA0A59" w:rsidP="00D212FD">
      <w:pPr>
        <w:spacing w:after="0" w:line="240" w:lineRule="auto"/>
      </w:pPr>
      <w:r>
        <w:separator/>
      </w:r>
    </w:p>
  </w:endnote>
  <w:endnote w:type="continuationSeparator" w:id="0">
    <w:p w14:paraId="4FE5E584" w14:textId="77777777" w:rsidR="00EA0A59" w:rsidRDefault="00EA0A59" w:rsidP="00D212FD">
      <w:pPr>
        <w:spacing w:after="0" w:line="240" w:lineRule="auto"/>
      </w:pPr>
      <w:r>
        <w:continuationSeparator/>
      </w:r>
    </w:p>
  </w:endnote>
  <w:endnote w:type="continuationNotice" w:id="1">
    <w:p w14:paraId="217A2505" w14:textId="77777777" w:rsidR="00EA0A59" w:rsidRDefault="00EA0A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D93AF" w14:textId="6C517985" w:rsidR="004D51D8" w:rsidRPr="009D4DB0" w:rsidRDefault="004D51D8" w:rsidP="004D51D8">
    <w:pPr>
      <w:pStyle w:val="Footer"/>
      <w:rPr>
        <w:rFonts w:ascii="Arial" w:hAnsi="Arial" w:cs="Arial"/>
        <w:b/>
        <w:sz w:val="20"/>
        <w:szCs w:val="16"/>
      </w:rPr>
    </w:pPr>
    <w:r w:rsidRPr="00E819AA">
      <w:rPr>
        <w:rFonts w:ascii="Arial" w:hAnsi="Arial" w:cs="Arial"/>
        <w:b/>
        <w:sz w:val="20"/>
        <w:szCs w:val="16"/>
      </w:rPr>
      <w:t>Security Assessment and Authorization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Pr>
        <w:rFonts w:ascii="Arial" w:hAnsi="Arial" w:cs="Arial"/>
        <w:b/>
        <w:noProof/>
        <w:sz w:val="20"/>
        <w:szCs w:val="16"/>
      </w:rPr>
      <w:t>5</w:t>
    </w:r>
    <w:r w:rsidRPr="009D4DB0">
      <w:rPr>
        <w:rFonts w:ascii="Arial" w:hAnsi="Arial" w:cs="Arial"/>
        <w:b/>
        <w:sz w:val="20"/>
        <w:szCs w:val="16"/>
      </w:rPr>
      <w:fldChar w:fldCharType="end"/>
    </w:r>
  </w:p>
  <w:p w14:paraId="6D26D8E4" w14:textId="77777777" w:rsidR="004D51D8" w:rsidRDefault="004D5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6B56202" w:rsidR="007B5EB1" w:rsidRPr="009D4DB0" w:rsidRDefault="00E819AA" w:rsidP="007B5EB1">
    <w:pPr>
      <w:pStyle w:val="Footer"/>
      <w:rPr>
        <w:rFonts w:ascii="Arial" w:hAnsi="Arial" w:cs="Arial"/>
        <w:b/>
        <w:sz w:val="20"/>
        <w:szCs w:val="16"/>
      </w:rPr>
    </w:pPr>
    <w:r w:rsidRPr="00E819AA">
      <w:rPr>
        <w:rFonts w:ascii="Arial" w:hAnsi="Arial" w:cs="Arial"/>
        <w:b/>
        <w:sz w:val="20"/>
        <w:szCs w:val="16"/>
      </w:rPr>
      <w:t>Security Assessment and Authorization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4D51D8">
      <w:rPr>
        <w:rFonts w:ascii="Arial" w:hAnsi="Arial" w:cs="Arial"/>
        <w:b/>
        <w:noProof/>
        <w:sz w:val="20"/>
        <w:szCs w:val="16"/>
      </w:rPr>
      <w:t>5</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C8E02" w14:textId="77777777" w:rsidR="00EA0A59" w:rsidRDefault="00EA0A59" w:rsidP="00D212FD">
      <w:pPr>
        <w:spacing w:after="0" w:line="240" w:lineRule="auto"/>
      </w:pPr>
      <w:r>
        <w:separator/>
      </w:r>
    </w:p>
  </w:footnote>
  <w:footnote w:type="continuationSeparator" w:id="0">
    <w:p w14:paraId="3E84DA4E" w14:textId="77777777" w:rsidR="00EA0A59" w:rsidRDefault="00EA0A59" w:rsidP="00D212FD">
      <w:pPr>
        <w:spacing w:after="0" w:line="240" w:lineRule="auto"/>
      </w:pPr>
      <w:r>
        <w:continuationSeparator/>
      </w:r>
    </w:p>
  </w:footnote>
  <w:footnote w:type="continuationNotice" w:id="1">
    <w:p w14:paraId="676D6B05" w14:textId="77777777" w:rsidR="00EA0A59" w:rsidRDefault="00EA0A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94BB5"/>
    <w:multiLevelType w:val="multilevel"/>
    <w:tmpl w:val="66682EF8"/>
    <w:lvl w:ilvl="0">
      <w:start w:val="4"/>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090BC2"/>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C124063"/>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E0A39"/>
    <w:multiLevelType w:val="hybridMultilevel"/>
    <w:tmpl w:val="AE14C5A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15:restartNumberingAfterBreak="0">
    <w:nsid w:val="49EC2F7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F4F4E"/>
    <w:multiLevelType w:val="hybridMultilevel"/>
    <w:tmpl w:val="EF542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4" w15:restartNumberingAfterBreak="0">
    <w:nsid w:val="683D427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9"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9199528">
    <w:abstractNumId w:val="8"/>
  </w:num>
  <w:num w:numId="2" w16cid:durableId="1658728598">
    <w:abstractNumId w:val="9"/>
  </w:num>
  <w:num w:numId="3" w16cid:durableId="482350507">
    <w:abstractNumId w:val="10"/>
  </w:num>
  <w:num w:numId="4" w16cid:durableId="883757269">
    <w:abstractNumId w:val="42"/>
  </w:num>
  <w:num w:numId="5" w16cid:durableId="2098597122">
    <w:abstractNumId w:val="11"/>
  </w:num>
  <w:num w:numId="6" w16cid:durableId="895236703">
    <w:abstractNumId w:val="17"/>
  </w:num>
  <w:num w:numId="7" w16cid:durableId="1524319367">
    <w:abstractNumId w:val="25"/>
  </w:num>
  <w:num w:numId="8" w16cid:durableId="450638127">
    <w:abstractNumId w:val="33"/>
  </w:num>
  <w:num w:numId="9" w16cid:durableId="1873178688">
    <w:abstractNumId w:val="27"/>
  </w:num>
  <w:num w:numId="10" w16cid:durableId="564530994">
    <w:abstractNumId w:val="35"/>
  </w:num>
  <w:num w:numId="11" w16cid:durableId="86005928">
    <w:abstractNumId w:val="12"/>
  </w:num>
  <w:num w:numId="12" w16cid:durableId="2112695928">
    <w:abstractNumId w:val="23"/>
  </w:num>
  <w:num w:numId="13" w16cid:durableId="796336273">
    <w:abstractNumId w:val="30"/>
  </w:num>
  <w:num w:numId="14" w16cid:durableId="1450591784">
    <w:abstractNumId w:val="41"/>
  </w:num>
  <w:num w:numId="15" w16cid:durableId="1728604357">
    <w:abstractNumId w:val="28"/>
  </w:num>
  <w:num w:numId="16" w16cid:durableId="2107190049">
    <w:abstractNumId w:val="40"/>
  </w:num>
  <w:num w:numId="17" w16cid:durableId="1989630633">
    <w:abstractNumId w:val="15"/>
  </w:num>
  <w:num w:numId="18" w16cid:durableId="720638828">
    <w:abstractNumId w:val="5"/>
  </w:num>
  <w:num w:numId="19" w16cid:durableId="1599754833">
    <w:abstractNumId w:val="18"/>
  </w:num>
  <w:num w:numId="20" w16cid:durableId="34351389">
    <w:abstractNumId w:val="6"/>
  </w:num>
  <w:num w:numId="21" w16cid:durableId="485318865">
    <w:abstractNumId w:val="38"/>
  </w:num>
  <w:num w:numId="22" w16cid:durableId="1002046875">
    <w:abstractNumId w:val="0"/>
  </w:num>
  <w:num w:numId="23" w16cid:durableId="801770644">
    <w:abstractNumId w:val="21"/>
  </w:num>
  <w:num w:numId="24" w16cid:durableId="410735890">
    <w:abstractNumId w:val="14"/>
  </w:num>
  <w:num w:numId="25" w16cid:durableId="903180417">
    <w:abstractNumId w:val="7"/>
  </w:num>
  <w:num w:numId="26" w16cid:durableId="1188180245">
    <w:abstractNumId w:val="28"/>
  </w:num>
  <w:num w:numId="27" w16cid:durableId="1514564231">
    <w:abstractNumId w:val="4"/>
  </w:num>
  <w:num w:numId="28" w16cid:durableId="166211673">
    <w:abstractNumId w:val="29"/>
  </w:num>
  <w:num w:numId="29" w16cid:durableId="817386089">
    <w:abstractNumId w:val="29"/>
  </w:num>
  <w:num w:numId="30" w16cid:durableId="220672808">
    <w:abstractNumId w:val="2"/>
  </w:num>
  <w:num w:numId="31" w16cid:durableId="1220828569">
    <w:abstractNumId w:val="37"/>
  </w:num>
  <w:num w:numId="32" w16cid:durableId="202984311">
    <w:abstractNumId w:val="13"/>
  </w:num>
  <w:num w:numId="33" w16cid:durableId="90471875">
    <w:abstractNumId w:val="36"/>
  </w:num>
  <w:num w:numId="34" w16cid:durableId="714350849">
    <w:abstractNumId w:val="39"/>
  </w:num>
  <w:num w:numId="35" w16cid:durableId="2038658368">
    <w:abstractNumId w:val="20"/>
  </w:num>
  <w:num w:numId="36" w16cid:durableId="1774127606">
    <w:abstractNumId w:val="32"/>
  </w:num>
  <w:num w:numId="37" w16cid:durableId="1733428646">
    <w:abstractNumId w:val="31"/>
  </w:num>
  <w:num w:numId="38" w16cid:durableId="645554433">
    <w:abstractNumId w:val="16"/>
  </w:num>
  <w:num w:numId="39" w16cid:durableId="1286498376">
    <w:abstractNumId w:val="19"/>
  </w:num>
  <w:num w:numId="40" w16cid:durableId="61105925">
    <w:abstractNumId w:val="26"/>
  </w:num>
  <w:num w:numId="41" w16cid:durableId="141972088">
    <w:abstractNumId w:val="3"/>
  </w:num>
  <w:num w:numId="42" w16cid:durableId="4364914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00454408">
    <w:abstractNumId w:val="22"/>
  </w:num>
  <w:num w:numId="44" w16cid:durableId="341857278">
    <w:abstractNumId w:val="34"/>
  </w:num>
  <w:num w:numId="45" w16cid:durableId="78053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1F11"/>
    <w:rsid w:val="00453386"/>
    <w:rsid w:val="0045793A"/>
    <w:rsid w:val="004612DA"/>
    <w:rsid w:val="00464576"/>
    <w:rsid w:val="00471623"/>
    <w:rsid w:val="00477798"/>
    <w:rsid w:val="0049293E"/>
    <w:rsid w:val="004975BC"/>
    <w:rsid w:val="004A12D4"/>
    <w:rsid w:val="004A6140"/>
    <w:rsid w:val="004B746E"/>
    <w:rsid w:val="004C2511"/>
    <w:rsid w:val="004D51D8"/>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3928"/>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6C6"/>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611C5"/>
    <w:rsid w:val="00C73C6D"/>
    <w:rsid w:val="00C83D0F"/>
    <w:rsid w:val="00C97C8F"/>
    <w:rsid w:val="00CA7724"/>
    <w:rsid w:val="00CC7053"/>
    <w:rsid w:val="00CC7981"/>
    <w:rsid w:val="00CD4267"/>
    <w:rsid w:val="00CD7D6B"/>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0135"/>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19AA"/>
    <w:rsid w:val="00E82999"/>
    <w:rsid w:val="00E873C4"/>
    <w:rsid w:val="00E96E1C"/>
    <w:rsid w:val="00E96F90"/>
    <w:rsid w:val="00EA0A59"/>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C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A206C6"/>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04204190">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3475950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