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314E6" w:rsidRPr="00D62A1C" w14:paraId="3D3147F6" w14:textId="77777777" w:rsidTr="002E60C4">
        <w:trPr>
          <w:trHeight w:val="713"/>
        </w:trPr>
        <w:tc>
          <w:tcPr>
            <w:tcW w:w="5328" w:type="dxa"/>
            <w:shd w:val="clear" w:color="auto" w:fill="auto"/>
          </w:tcPr>
          <w:p w14:paraId="28348DE0" w14:textId="77777777" w:rsidR="007314E6" w:rsidRPr="00351561" w:rsidRDefault="007314E6"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3339B60" w14:textId="77777777" w:rsidR="007314E6" w:rsidRPr="003325C1" w:rsidRDefault="007314E6"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DDC72E9" w14:textId="77777777" w:rsidR="007314E6" w:rsidRPr="003325C1" w:rsidRDefault="007314E6"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7314E6" w:rsidRPr="00D62A1C" w14:paraId="5C02C325" w14:textId="77777777" w:rsidTr="002E60C4">
        <w:trPr>
          <w:trHeight w:val="617"/>
        </w:trPr>
        <w:tc>
          <w:tcPr>
            <w:tcW w:w="5328" w:type="dxa"/>
            <w:vMerge w:val="restart"/>
            <w:shd w:val="clear" w:color="auto" w:fill="auto"/>
          </w:tcPr>
          <w:p w14:paraId="26A287C1" w14:textId="77777777" w:rsidR="007314E6" w:rsidRPr="003325C1" w:rsidRDefault="007314E6" w:rsidP="002E60C4">
            <w:pPr>
              <w:spacing w:after="0" w:line="240" w:lineRule="auto"/>
              <w:jc w:val="center"/>
              <w:rPr>
                <w:rFonts w:ascii="Arial" w:hAnsi="Arial" w:cs="Arial"/>
                <w:sz w:val="24"/>
                <w:szCs w:val="40"/>
              </w:rPr>
            </w:pPr>
          </w:p>
          <w:p w14:paraId="443EB35B" w14:textId="77777777" w:rsidR="007314E6" w:rsidRPr="003325C1" w:rsidRDefault="007314E6"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4738566" w14:textId="77777777" w:rsidR="007314E6" w:rsidRPr="003325C1" w:rsidRDefault="007314E6" w:rsidP="002E60C4">
            <w:pPr>
              <w:spacing w:after="0" w:line="240" w:lineRule="auto"/>
              <w:jc w:val="center"/>
              <w:rPr>
                <w:rFonts w:ascii="Arial" w:hAnsi="Arial" w:cs="Arial"/>
                <w:sz w:val="24"/>
                <w:szCs w:val="40"/>
              </w:rPr>
            </w:pPr>
          </w:p>
          <w:p w14:paraId="4ED15DA4" w14:textId="5BB51207" w:rsidR="007314E6" w:rsidRPr="007314E6" w:rsidRDefault="007314E6" w:rsidP="007314E6">
            <w:pPr>
              <w:spacing w:after="0" w:line="240" w:lineRule="auto"/>
              <w:rPr>
                <w:rFonts w:ascii="Arial" w:hAnsi="Arial" w:cs="Arial"/>
              </w:rPr>
            </w:pPr>
            <w:r w:rsidRPr="00892400">
              <w:rPr>
                <w:rFonts w:ascii="Arial" w:hAnsi="Arial" w:cs="Arial"/>
                <w:b/>
                <w:sz w:val="40"/>
              </w:rPr>
              <w:t>Personnel Security Policy</w:t>
            </w:r>
          </w:p>
        </w:tc>
        <w:tc>
          <w:tcPr>
            <w:tcW w:w="4837" w:type="dxa"/>
            <w:vAlign w:val="center"/>
          </w:tcPr>
          <w:p w14:paraId="51023046" w14:textId="77777777" w:rsidR="007314E6" w:rsidRPr="003325C1" w:rsidRDefault="007314E6"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7314E6" w:rsidRPr="00D62A1C" w14:paraId="5AC26FAE" w14:textId="77777777" w:rsidTr="002E60C4">
        <w:trPr>
          <w:trHeight w:val="1517"/>
        </w:trPr>
        <w:tc>
          <w:tcPr>
            <w:tcW w:w="5328" w:type="dxa"/>
            <w:vMerge/>
            <w:shd w:val="clear" w:color="auto" w:fill="auto"/>
          </w:tcPr>
          <w:p w14:paraId="71055AD9" w14:textId="77777777" w:rsidR="007314E6" w:rsidRPr="003325C1" w:rsidRDefault="007314E6" w:rsidP="002E60C4">
            <w:pPr>
              <w:spacing w:after="0" w:line="240" w:lineRule="auto"/>
              <w:rPr>
                <w:rFonts w:ascii="Arial" w:hAnsi="Arial" w:cs="Arial"/>
              </w:rPr>
            </w:pPr>
          </w:p>
        </w:tc>
        <w:tc>
          <w:tcPr>
            <w:tcW w:w="4837" w:type="dxa"/>
          </w:tcPr>
          <w:p w14:paraId="757B330F" w14:textId="77777777" w:rsidR="007314E6" w:rsidRPr="00C87DEF" w:rsidRDefault="007314E6"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1262CCF3" w14:textId="77777777" w:rsidR="007314E6" w:rsidRPr="003325C1" w:rsidRDefault="007314E6" w:rsidP="002E60C4">
            <w:pPr>
              <w:spacing w:after="0" w:line="240" w:lineRule="auto"/>
              <w:rPr>
                <w:rFonts w:ascii="Arial" w:hAnsi="Arial" w:cs="Arial"/>
                <w:sz w:val="24"/>
              </w:rPr>
            </w:pPr>
          </w:p>
          <w:p w14:paraId="735D3B8C" w14:textId="77777777" w:rsidR="007314E6" w:rsidRPr="003325C1" w:rsidRDefault="007314E6"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46F3D9B1" w14:textId="6A7AFC6D" w:rsidR="00892400" w:rsidRPr="004E1E6A" w:rsidRDefault="004E1E6A" w:rsidP="00892400">
      <w:pPr>
        <w:rPr>
          <w:rFonts w:ascii="Arial" w:eastAsia="Arial" w:hAnsi="Arial" w:cs="Arial"/>
          <w:sz w:val="24"/>
          <w:szCs w:val="24"/>
        </w:rPr>
      </w:pPr>
      <w:r w:rsidRPr="004E1E6A">
        <w:rPr>
          <w:rFonts w:ascii="Arial" w:eastAsia="Arial" w:hAnsi="Arial" w:cs="Arial"/>
          <w:sz w:val="24"/>
          <w:szCs w:val="24"/>
        </w:rPr>
        <w:t>The purpose of this cybersecurity personnel policy is to establish safeguards that ensure only authorized personnel have access to the organization's IT resources and data. By assigning risk designations, performing personnel screening, managing terminations and transfers, and enforcing access agreements, this policy aims to mitigate risks associated with human interactions in IT environments. It ensures that proper security measures are in place, protecting the confidentiality, integrity, and availability of sensitive organizational information while supporting compliance with industry standards and best practices.</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028476B0" w14:textId="77777777" w:rsidR="007314E6" w:rsidRPr="00341FFE" w:rsidRDefault="007314E6" w:rsidP="007314E6">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3C059197" w14:textId="77777777" w:rsidR="007314E6" w:rsidRDefault="007314E6" w:rsidP="007314E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Default="00FD26A2" w:rsidP="00B81B99">
      <w:pPr>
        <w:pStyle w:val="Heading1"/>
        <w:rPr>
          <w:color w:val="auto"/>
        </w:rPr>
      </w:pPr>
      <w:r w:rsidRPr="00B81B99">
        <w:rPr>
          <w:color w:val="auto"/>
        </w:rPr>
        <w:lastRenderedPageBreak/>
        <w:t xml:space="preserve">4.0 </w:t>
      </w:r>
      <w:r w:rsidR="00C23014" w:rsidRPr="00B81B99">
        <w:rPr>
          <w:color w:val="auto"/>
        </w:rPr>
        <w:t>Information</w:t>
      </w:r>
      <w:r w:rsidRPr="00B81B99">
        <w:rPr>
          <w:color w:val="auto"/>
        </w:rPr>
        <w:t xml:space="preserve"> Statement</w:t>
      </w:r>
    </w:p>
    <w:p w14:paraId="69DA9721" w14:textId="7B8A52FA" w:rsidR="006A670B" w:rsidRPr="006A670B" w:rsidRDefault="006A670B" w:rsidP="006A670B">
      <w:pPr>
        <w:ind w:right="446"/>
        <w:jc w:val="both"/>
        <w:rPr>
          <w:rFonts w:ascii="Arial" w:hAnsi="Arial" w:cs="Arial"/>
          <w:sz w:val="24"/>
          <w:szCs w:val="24"/>
        </w:rPr>
      </w:pPr>
      <w:r w:rsidRPr="006A670B">
        <w:rPr>
          <w:rFonts w:ascii="Arial" w:hAnsi="Arial" w:cs="Arial"/>
          <w:sz w:val="24"/>
          <w:szCs w:val="24"/>
        </w:rPr>
        <w:t xml:space="preserve">This </w:t>
      </w:r>
      <w:r>
        <w:rPr>
          <w:rFonts w:ascii="Arial" w:hAnsi="Arial" w:cs="Arial"/>
          <w:sz w:val="24"/>
          <w:szCs w:val="24"/>
        </w:rPr>
        <w:t xml:space="preserve">policy </w:t>
      </w:r>
      <w:r w:rsidRPr="006A670B">
        <w:rPr>
          <w:rFonts w:ascii="Arial" w:hAnsi="Arial" w:cs="Arial"/>
          <w:sz w:val="24"/>
          <w:szCs w:val="24"/>
        </w:rPr>
        <w:t>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Exit interviews ensure that security obligations, such as nondisclosure, are understood upon termination, and security-related assets are retrieved.</w:t>
      </w:r>
    </w:p>
    <w:p w14:paraId="53BECAFB" w14:textId="200065CB" w:rsidR="006A670B" w:rsidRDefault="006A670B" w:rsidP="006A670B">
      <w:pPr>
        <w:ind w:right="446"/>
        <w:jc w:val="both"/>
        <w:rPr>
          <w:rFonts w:ascii="Arial" w:hAnsi="Arial" w:cs="Arial"/>
          <w:sz w:val="24"/>
          <w:szCs w:val="24"/>
        </w:rPr>
      </w:pPr>
      <w:r>
        <w:rPr>
          <w:rFonts w:ascii="Arial" w:hAnsi="Arial" w:cs="Arial"/>
          <w:sz w:val="24"/>
          <w:szCs w:val="24"/>
        </w:rPr>
        <w:t>T</w:t>
      </w:r>
      <w:r w:rsidRPr="006A670B">
        <w:rPr>
          <w:rFonts w:ascii="Arial" w:hAnsi="Arial" w:cs="Arial"/>
          <w:sz w:val="24"/>
          <w:szCs w:val="24"/>
        </w:rPr>
        <w: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21FDC58A" w14:textId="1880C7C6" w:rsidR="00734C77" w:rsidRPr="00734C77" w:rsidRDefault="00892400"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Position Risk Designation</w:t>
      </w:r>
    </w:p>
    <w:p w14:paraId="05455297" w14:textId="623C3BD6" w:rsidR="00734C77" w:rsidRPr="00734C77" w:rsidRDefault="00734C77" w:rsidP="00734C77">
      <w:pPr>
        <w:ind w:left="86" w:right="446" w:firstLine="360"/>
        <w:jc w:val="both"/>
        <w:rPr>
          <w:rFonts w:ascii="Arial" w:hAnsi="Arial" w:cs="Arial"/>
          <w:color w:val="C00000"/>
          <w:sz w:val="24"/>
          <w:szCs w:val="24"/>
        </w:rPr>
      </w:pPr>
      <w:r w:rsidRPr="00734C77">
        <w:rPr>
          <w:rFonts w:ascii="Arial" w:hAnsi="Arial" w:cs="Arial"/>
          <w:sz w:val="24"/>
          <w:szCs w:val="24"/>
        </w:rPr>
        <w:t>Information Technology (IT) shall:</w:t>
      </w:r>
    </w:p>
    <w:p w14:paraId="0B966F10" w14:textId="493C1BA8" w:rsidR="0075131B" w:rsidRPr="0010168A" w:rsidRDefault="00734C77" w:rsidP="00587924">
      <w:pPr>
        <w:numPr>
          <w:ilvl w:val="1"/>
          <w:numId w:val="33"/>
        </w:numPr>
        <w:spacing w:after="120" w:line="240" w:lineRule="auto"/>
        <w:ind w:left="806" w:right="446"/>
        <w:jc w:val="both"/>
        <w:rPr>
          <w:rFonts w:ascii="Arial" w:hAnsi="Arial" w:cs="Arial"/>
          <w:sz w:val="24"/>
          <w:szCs w:val="24"/>
        </w:rPr>
      </w:pPr>
      <w:r w:rsidRPr="00734C77">
        <w:rPr>
          <w:rFonts w:ascii="Arial" w:hAnsi="Arial" w:cs="Arial"/>
          <w:sz w:val="24"/>
          <w:szCs w:val="24"/>
        </w:rPr>
        <w:t>Assign a risk designation to all positions.</w:t>
      </w:r>
    </w:p>
    <w:p w14:paraId="252F6240" w14:textId="4D965101" w:rsidR="0075131B"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Establish screening criteria for individuals filling those positions.</w:t>
      </w:r>
    </w:p>
    <w:p w14:paraId="0C3EB947" w14:textId="638F61DD" w:rsidR="00892400" w:rsidRPr="0010168A"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Review and update position risk designations [entity defined frequency].</w:t>
      </w:r>
    </w:p>
    <w:p w14:paraId="25D8F5E3" w14:textId="482C0505" w:rsidR="00AB6B64" w:rsidRPr="0010168A" w:rsidRDefault="0089240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Screening</w:t>
      </w:r>
    </w:p>
    <w:p w14:paraId="0F5DC7A1" w14:textId="6C14C4E8" w:rsidR="0075131B" w:rsidRPr="0010168A" w:rsidRDefault="00734C77" w:rsidP="00587924">
      <w:pPr>
        <w:numPr>
          <w:ilvl w:val="0"/>
          <w:numId w:val="32"/>
        </w:numPr>
        <w:spacing w:after="120" w:line="240" w:lineRule="auto"/>
        <w:ind w:left="806" w:right="446"/>
        <w:jc w:val="both"/>
        <w:rPr>
          <w:rFonts w:ascii="Arial" w:hAnsi="Arial" w:cs="Arial"/>
          <w:sz w:val="24"/>
          <w:szCs w:val="24"/>
        </w:rPr>
      </w:pPr>
      <w:r w:rsidRPr="00734C77">
        <w:rPr>
          <w:rFonts w:ascii="Arial" w:hAnsi="Arial" w:cs="Arial"/>
          <w:sz w:val="24"/>
          <w:szCs w:val="24"/>
        </w:rPr>
        <w:t>Screen individuals prior to authorizing access to the information systems.</w:t>
      </w:r>
    </w:p>
    <w:p w14:paraId="1BC02DE1" w14:textId="14230617" w:rsidR="0075131B"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Rescreen individuals according to [entity defined conditions requiring rescreening and, where rescreening is so indicated, the frequency of such rescreening].</w:t>
      </w:r>
    </w:p>
    <w:p w14:paraId="7DFCDD0B" w14:textId="14CD9FA5" w:rsidR="007A7EAE" w:rsidRPr="0010168A"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Ensure personnel screening and rescreening activities reflect applicable state and federal laws, directives, regulations, policies, standards, guidance, and specific criteria established for the risk designations of assigned positions.</w:t>
      </w:r>
    </w:p>
    <w:p w14:paraId="36ACC1AB" w14:textId="42C8F1AA" w:rsidR="00AB6B64" w:rsidRPr="0010168A" w:rsidRDefault="007A7EAE"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Termination</w:t>
      </w:r>
    </w:p>
    <w:p w14:paraId="1C8E880D" w14:textId="5E4EA47F"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Disable information system access within [entity defined time period].</w:t>
      </w:r>
    </w:p>
    <w:p w14:paraId="230626C7" w14:textId="5387850A"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Terminate/revoke any authenticators/credentials associated with the individual.</w:t>
      </w:r>
    </w:p>
    <w:p w14:paraId="3E0A61C8" w14:textId="658C5436" w:rsidR="0075131B" w:rsidRPr="0010168A"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Conduct exit interviews that include a discussion of [entity defined information security topics].</w:t>
      </w:r>
    </w:p>
    <w:p w14:paraId="2F56060E" w14:textId="77BE95F8" w:rsidR="0075131B"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Retrieve all security-related information system-related property.</w:t>
      </w:r>
    </w:p>
    <w:p w14:paraId="0E30434D" w14:textId="56BEFB61"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lastRenderedPageBreak/>
        <w:t>Retain access to information and information systems formerly controlled by terminated individual.</w:t>
      </w:r>
    </w:p>
    <w:p w14:paraId="2CB218C6" w14:textId="73B3E0AB"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Notify [entity defined personnel or roles] within [entity defined time period].</w:t>
      </w:r>
    </w:p>
    <w:p w14:paraId="4F2FCF4F" w14:textId="6727F3BE"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1564A95D" w14:textId="51A381F6"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n</w:t>
      </w:r>
      <w:r w:rsidRPr="00734C77">
        <w:rPr>
          <w:rFonts w:ascii="Arial" w:hAnsi="Arial" w:cs="Arial"/>
          <w:sz w:val="24"/>
          <w:szCs w:val="24"/>
        </w:rPr>
        <w:t>otify terminated individuals of applicable, legally binding post-employment requirements for the protection of information.</w:t>
      </w:r>
    </w:p>
    <w:p w14:paraId="1D7AD2FE" w14:textId="26896141"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r</w:t>
      </w:r>
      <w:r w:rsidRPr="00734C77">
        <w:rPr>
          <w:rFonts w:ascii="Arial" w:hAnsi="Arial" w:cs="Arial"/>
          <w:sz w:val="24"/>
          <w:szCs w:val="24"/>
        </w:rPr>
        <w:t>equire terminated individuals to sign an acknowledgment of post-employment requirements as part of the termination process as directed by Counsel and Human Resources (HR).</w:t>
      </w:r>
    </w:p>
    <w:p w14:paraId="4E07BEC6" w14:textId="151C7F46" w:rsidR="007A7EAE" w:rsidRPr="0010168A"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e</w:t>
      </w:r>
      <w:r w:rsidRPr="00734C77">
        <w:rPr>
          <w:rFonts w:ascii="Arial" w:hAnsi="Arial" w:cs="Arial"/>
          <w:sz w:val="24"/>
          <w:szCs w:val="24"/>
        </w:rPr>
        <w:t>mploy automated mechanisms to notify [entity defined personnel or roles] upon termination of an individual.</w:t>
      </w:r>
    </w:p>
    <w:p w14:paraId="44E11A4B" w14:textId="49725390"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Transfer</w:t>
      </w:r>
    </w:p>
    <w:p w14:paraId="0EDF9B5B" w14:textId="6615056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9144789" w14:textId="15DAD5FA"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Review and confirm ongoing operational need for current logical and physical access authorizations to information systems/facilities when individuals are reassigned or transferred to other positions.</w:t>
      </w:r>
    </w:p>
    <w:p w14:paraId="3A090DE3" w14:textId="6F4C6BF6"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Initiate [entity defined transfer or reassignment actions] within [entity defined time period following the formal transfer action].</w:t>
      </w:r>
    </w:p>
    <w:p w14:paraId="0866A35F" w14:textId="69186087" w:rsidR="0075131B"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Modify access authorization as needed to correspond with any changes in operational need due to reassignment or transfer.</w:t>
      </w:r>
    </w:p>
    <w:p w14:paraId="4AE35696" w14:textId="60EA8171" w:rsidR="00734C77" w:rsidRPr="00734C77" w:rsidRDefault="00734C77" w:rsidP="00734C77">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Notify [entity defined personnel] within [entity defined time period] of transfer.</w:t>
      </w:r>
    </w:p>
    <w:p w14:paraId="02553934" w14:textId="46B4DB40" w:rsidR="00734C77" w:rsidRPr="0010168A" w:rsidRDefault="00734C77" w:rsidP="00734C77">
      <w:pPr>
        <w:spacing w:after="120" w:line="240" w:lineRule="auto"/>
        <w:ind w:left="720" w:right="446"/>
        <w:jc w:val="both"/>
        <w:rPr>
          <w:rFonts w:ascii="Arial" w:hAnsi="Arial" w:cs="Arial"/>
          <w:sz w:val="24"/>
          <w:szCs w:val="24"/>
        </w:rPr>
      </w:pPr>
      <w:r w:rsidRPr="00734C77">
        <w:rPr>
          <w:rFonts w:ascii="Arial" w:hAnsi="Arial" w:cs="Arial"/>
          <w:sz w:val="24"/>
          <w:szCs w:val="24"/>
        </w:rPr>
        <w:t>This control applies when reassignments or transfers of individuals are permanent or of such extended durations as to make the actions warranted.</w:t>
      </w:r>
    </w:p>
    <w:p w14:paraId="642C6EF3" w14:textId="48318F51"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Agreements</w:t>
      </w:r>
    </w:p>
    <w:p w14:paraId="564932FA" w14:textId="3053E5C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6AB90C6" w14:textId="367BEF8F"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Develop and document access agreements for information systems.</w:t>
      </w:r>
    </w:p>
    <w:p w14:paraId="4EDDA9DC" w14:textId="6A075605"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Review and update the access agreements [entity defined frequency].</w:t>
      </w:r>
    </w:p>
    <w:p w14:paraId="4DC12B46" w14:textId="2B795D91" w:rsidR="007A7EAE" w:rsidRDefault="00734C77" w:rsidP="007A7EAE">
      <w:pPr>
        <w:numPr>
          <w:ilvl w:val="0"/>
          <w:numId w:val="36"/>
        </w:numPr>
        <w:spacing w:line="240" w:lineRule="auto"/>
        <w:ind w:left="810" w:right="446"/>
        <w:jc w:val="both"/>
        <w:rPr>
          <w:rFonts w:ascii="Arial" w:hAnsi="Arial" w:cs="Arial"/>
          <w:sz w:val="24"/>
          <w:szCs w:val="24"/>
        </w:rPr>
      </w:pPr>
      <w:r w:rsidRPr="00734C77">
        <w:rPr>
          <w:rFonts w:ascii="Arial" w:hAnsi="Arial" w:cs="Arial"/>
          <w:sz w:val="24"/>
          <w:szCs w:val="24"/>
        </w:rPr>
        <w:t>Ensure that individuals requiring access to information and information systems:</w:t>
      </w:r>
    </w:p>
    <w:p w14:paraId="235DDAE7" w14:textId="376F9170"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lastRenderedPageBreak/>
        <w:t>Sign appropriate access agreements prior to being granted access.</w:t>
      </w:r>
    </w:p>
    <w:p w14:paraId="7003CF4A" w14:textId="04DA64C7"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Re-sign access agreements to maintain access to information systems when access agreements have been updated or [entity defined frequency].</w:t>
      </w:r>
    </w:p>
    <w:p w14:paraId="3766B0BA" w14:textId="0A2ED1E8"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Access agreements include, for example, nondisclosure agreements, acceptable use agreements, rules of behavior, and conflict-of-interest agreements.</w:t>
      </w:r>
    </w:p>
    <w:p w14:paraId="18C8FCE3" w14:textId="6AED51B1" w:rsidR="00734C77" w:rsidRPr="00734C77" w:rsidRDefault="007A7EAE" w:rsidP="00734C77">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Agreements Third-Party Personnel Security</w:t>
      </w:r>
    </w:p>
    <w:p w14:paraId="32CA34BA" w14:textId="38FFCA63" w:rsidR="00734C77" w:rsidRPr="00734C77" w:rsidRDefault="00CF2B86" w:rsidP="00734C77">
      <w:pPr>
        <w:ind w:left="86" w:right="446" w:firstLine="360"/>
        <w:jc w:val="both"/>
        <w:rPr>
          <w:rFonts w:ascii="Arial" w:hAnsi="Arial" w:cs="Arial"/>
          <w:color w:val="C00000"/>
          <w:sz w:val="24"/>
          <w:szCs w:val="24"/>
        </w:rPr>
      </w:pPr>
      <w:r w:rsidRPr="00351561">
        <w:rPr>
          <w:rFonts w:ascii="Arial" w:hAnsi="Arial" w:cs="Arial"/>
          <w:bCs/>
          <w:color w:val="FF0000"/>
          <w:sz w:val="24"/>
        </w:rPr>
        <w:t>[Owner</w:t>
      </w:r>
      <w:r w:rsidRPr="00CF2B86">
        <w:rPr>
          <w:rFonts w:ascii="Arial" w:hAnsi="Arial" w:cs="Arial"/>
          <w:color w:val="FF0000"/>
          <w:sz w:val="24"/>
          <w:szCs w:val="24"/>
        </w:rPr>
        <w:t>]</w:t>
      </w:r>
      <w:r>
        <w:rPr>
          <w:rFonts w:ascii="Arial" w:hAnsi="Arial" w:cs="Arial"/>
          <w:sz w:val="24"/>
          <w:szCs w:val="24"/>
        </w:rPr>
        <w:t xml:space="preserve"> </w:t>
      </w:r>
      <w:r w:rsidR="00734C77" w:rsidRPr="00734C77">
        <w:rPr>
          <w:rFonts w:ascii="Arial" w:hAnsi="Arial" w:cs="Arial"/>
          <w:sz w:val="24"/>
          <w:szCs w:val="24"/>
        </w:rPr>
        <w:t>shall:</w:t>
      </w:r>
    </w:p>
    <w:p w14:paraId="046A76C6" w14:textId="27EF5EA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Establish and document personnel security requirements including security roles and responsibilities for third-party providers.</w:t>
      </w:r>
    </w:p>
    <w:p w14:paraId="035B2DC0" w14:textId="251003F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Require third-party providers to comply with personnel security policies and procedures established by the entity.</w:t>
      </w:r>
    </w:p>
    <w:p w14:paraId="5BF6E279" w14:textId="1ECF5E31" w:rsidR="007A7EAE" w:rsidRDefault="00734C77" w:rsidP="007A7EAE">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Require third-party providers to notify [entity defined personnel] of any personnel transfers or terminations of third-party personnel who possess credentials and/or badges, or who have information system privileges within [entity defined time</w:t>
      </w:r>
      <w:r w:rsidR="007314E6">
        <w:rPr>
          <w:rFonts w:ascii="Arial" w:hAnsi="Arial" w:cs="Arial"/>
          <w:sz w:val="24"/>
          <w:szCs w:val="24"/>
        </w:rPr>
        <w:t>-</w:t>
      </w:r>
      <w:r w:rsidRPr="00734C77">
        <w:rPr>
          <w:rFonts w:ascii="Arial" w:hAnsi="Arial" w:cs="Arial"/>
          <w:sz w:val="24"/>
          <w:szCs w:val="24"/>
        </w:rPr>
        <w:t>period].</w:t>
      </w:r>
    </w:p>
    <w:p w14:paraId="45F4FE25" w14:textId="40556333" w:rsidR="00F4345A" w:rsidRPr="00F4345A" w:rsidRDefault="00734C77" w:rsidP="00F4345A">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Monitor provider compliance.</w:t>
      </w:r>
    </w:p>
    <w:p w14:paraId="78559577" w14:textId="2B05AE57" w:rsidR="00F4345A" w:rsidRDefault="00F4345A" w:rsidP="00F4345A">
      <w:pPr>
        <w:spacing w:line="240" w:lineRule="auto"/>
        <w:ind w:left="450" w:right="446"/>
        <w:jc w:val="both"/>
        <w:rPr>
          <w:rFonts w:ascii="Arial" w:hAnsi="Arial" w:cs="Arial"/>
          <w:sz w:val="24"/>
          <w:szCs w:val="24"/>
        </w:rPr>
      </w:pPr>
      <w:r w:rsidRPr="00F4345A">
        <w:rPr>
          <w:rFonts w:ascii="Arial" w:hAnsi="Arial" w:cs="Arial"/>
          <w:sz w:val="24"/>
          <w:szCs w:val="24"/>
        </w:rPr>
        <w:t>Third-party providers include, for example, service bureaus, contractors, and other organizations providing information system development, information technology services, outsourced applications, and network and security management.</w:t>
      </w:r>
    </w:p>
    <w:p w14:paraId="0C23A564" w14:textId="2F2D8047" w:rsidR="00F4345A" w:rsidRPr="00F4345A" w:rsidRDefault="007A7EAE" w:rsidP="00F4345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Personnel Sanctions</w:t>
      </w:r>
    </w:p>
    <w:p w14:paraId="68687BE5" w14:textId="42E77021" w:rsidR="00F4345A" w:rsidRPr="00734C77" w:rsidRDefault="00CF2B86" w:rsidP="00F4345A">
      <w:pPr>
        <w:ind w:left="86" w:right="446" w:firstLine="360"/>
        <w:jc w:val="both"/>
        <w:rPr>
          <w:rFonts w:ascii="Arial" w:hAnsi="Arial" w:cs="Arial"/>
          <w:color w:val="C00000"/>
          <w:sz w:val="24"/>
          <w:szCs w:val="24"/>
        </w:rPr>
      </w:pPr>
      <w:r w:rsidRPr="00351561">
        <w:rPr>
          <w:rFonts w:ascii="Arial" w:hAnsi="Arial" w:cs="Arial"/>
          <w:bCs/>
          <w:color w:val="FF0000"/>
          <w:sz w:val="24"/>
        </w:rPr>
        <w:t>[Owner</w:t>
      </w:r>
      <w:r w:rsidRPr="00CF2B86">
        <w:rPr>
          <w:rFonts w:ascii="Arial" w:hAnsi="Arial" w:cs="Arial"/>
          <w:color w:val="FF0000"/>
          <w:sz w:val="24"/>
          <w:szCs w:val="24"/>
        </w:rPr>
        <w:t>]</w:t>
      </w:r>
      <w:r>
        <w:rPr>
          <w:rFonts w:ascii="Arial" w:hAnsi="Arial" w:cs="Arial"/>
          <w:color w:val="FF0000"/>
          <w:sz w:val="24"/>
          <w:szCs w:val="24"/>
        </w:rPr>
        <w:t xml:space="preserve"> </w:t>
      </w:r>
      <w:r w:rsidR="00F4345A">
        <w:rPr>
          <w:rFonts w:ascii="Arial" w:hAnsi="Arial" w:cs="Arial"/>
          <w:sz w:val="24"/>
          <w:szCs w:val="24"/>
        </w:rPr>
        <w:t xml:space="preserve">Department </w:t>
      </w:r>
      <w:r w:rsidR="00F4345A" w:rsidRPr="00734C77">
        <w:rPr>
          <w:rFonts w:ascii="Arial" w:hAnsi="Arial" w:cs="Arial"/>
          <w:sz w:val="24"/>
          <w:szCs w:val="24"/>
        </w:rPr>
        <w:t>shall:</w:t>
      </w:r>
    </w:p>
    <w:p w14:paraId="248677E6" w14:textId="501BDA74"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Employ a formal sanction process for individuals failing to comply with established information security policies and procedures</w:t>
      </w:r>
    </w:p>
    <w:p w14:paraId="55B27B4F" w14:textId="10EF8707"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Notify [entity defined personnel] within [entity defined time period] when a formal employee sanctions process is initiated, identifying the individual sanctioned and the reason for the sanction.</w:t>
      </w:r>
    </w:p>
    <w:p w14:paraId="3B316DDA" w14:textId="395BC709" w:rsidR="007A7EAE" w:rsidRDefault="00F4345A" w:rsidP="007A7EAE">
      <w:pPr>
        <w:numPr>
          <w:ilvl w:val="0"/>
          <w:numId w:val="40"/>
        </w:numPr>
        <w:spacing w:line="240" w:lineRule="auto"/>
        <w:ind w:left="810" w:right="446"/>
        <w:jc w:val="both"/>
        <w:rPr>
          <w:rFonts w:ascii="Arial" w:hAnsi="Arial" w:cs="Arial"/>
          <w:sz w:val="24"/>
          <w:szCs w:val="24"/>
        </w:rPr>
      </w:pPr>
      <w:r w:rsidRPr="00F4345A">
        <w:rPr>
          <w:rFonts w:ascii="Arial" w:hAnsi="Arial" w:cs="Arial"/>
          <w:sz w:val="24"/>
          <w:szCs w:val="24"/>
        </w:rPr>
        <w:t>Sanction processes reflect applicable state and federal laws, directives, regulations, policies, standards, and guidance. Sanctions processes are described in access agreements and can be included as part of general personnel policies and procedures for those organizations.</w:t>
      </w:r>
    </w:p>
    <w:p w14:paraId="72A0719E" w14:textId="77777777" w:rsidR="00FD26A2" w:rsidRPr="00B81B99" w:rsidRDefault="00AF069C" w:rsidP="00B81B99">
      <w:pPr>
        <w:pStyle w:val="Heading1"/>
        <w:rPr>
          <w:color w:val="auto"/>
        </w:rPr>
      </w:pPr>
      <w:r w:rsidRPr="00B81B99">
        <w:rPr>
          <w:color w:val="auto"/>
        </w:rPr>
        <w:lastRenderedPageBreak/>
        <w:t>5.0 Compliance</w:t>
      </w:r>
    </w:p>
    <w:p w14:paraId="151DAA3B" w14:textId="77777777" w:rsidR="007314E6" w:rsidRPr="004F0D6F" w:rsidRDefault="007314E6" w:rsidP="007314E6">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E185CA5" w14:textId="77777777" w:rsidR="007314E6" w:rsidRDefault="007314E6" w:rsidP="007314E6">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2E690AC1" w14:textId="77777777" w:rsidR="007314E6" w:rsidRDefault="007314E6" w:rsidP="007314E6">
      <w:pPr>
        <w:pStyle w:val="Heading1"/>
        <w:rPr>
          <w:color w:val="auto"/>
        </w:rPr>
      </w:pPr>
      <w:r>
        <w:rPr>
          <w:color w:val="auto"/>
        </w:rPr>
        <w:t>6</w:t>
      </w:r>
      <w:r w:rsidRPr="006E0CEF">
        <w:rPr>
          <w:color w:val="auto"/>
        </w:rPr>
        <w:t xml:space="preserve">.0 </w:t>
      </w:r>
      <w:r>
        <w:rPr>
          <w:color w:val="auto"/>
        </w:rPr>
        <w:t>Policy Exceptions</w:t>
      </w:r>
    </w:p>
    <w:p w14:paraId="225A9F71" w14:textId="35BAED45" w:rsidR="007314E6" w:rsidRDefault="007314E6" w:rsidP="007314E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411DF7DF" w:rsidR="00FD26A2" w:rsidRPr="00B81B99" w:rsidRDefault="007314E6"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0C7A1908" w14:textId="77777777" w:rsidR="007314E6" w:rsidRPr="003325C1" w:rsidRDefault="007314E6" w:rsidP="007314E6">
      <w:pPr>
        <w:pStyle w:val="Heading1"/>
        <w:rPr>
          <w:color w:val="auto"/>
        </w:rPr>
      </w:pPr>
      <w:r>
        <w:rPr>
          <w:color w:val="auto"/>
        </w:rPr>
        <w:t>8</w:t>
      </w:r>
      <w:r w:rsidRPr="003325C1">
        <w:rPr>
          <w:color w:val="auto"/>
        </w:rPr>
        <w:t>.0 Contact Information</w:t>
      </w:r>
    </w:p>
    <w:p w14:paraId="431EFE3B" w14:textId="77777777" w:rsidR="007314E6" w:rsidRDefault="007314E6" w:rsidP="007314E6">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70BEB5D" w14:textId="77777777" w:rsidR="007314E6" w:rsidRDefault="007314E6" w:rsidP="007314E6">
      <w:pPr>
        <w:spacing w:after="0" w:line="240" w:lineRule="auto"/>
        <w:ind w:right="446"/>
        <w:jc w:val="center"/>
        <w:rPr>
          <w:rFonts w:ascii="Arial" w:hAnsi="Arial" w:cs="Arial"/>
          <w:sz w:val="24"/>
          <w:szCs w:val="24"/>
        </w:rPr>
      </w:pPr>
    </w:p>
    <w:p w14:paraId="3F50FEAA" w14:textId="77777777" w:rsidR="007314E6" w:rsidRPr="00EB3772" w:rsidRDefault="007314E6" w:rsidP="007314E6">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74E47308" w:rsidR="00FD26A2" w:rsidRPr="00B81B99" w:rsidRDefault="007314E6"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1AE55D8" w:rsidR="00862653" w:rsidRPr="00B81B99" w:rsidRDefault="007314E6" w:rsidP="00B81B99">
      <w:pPr>
        <w:pStyle w:val="Heading1"/>
      </w:pPr>
      <w:r>
        <w:rPr>
          <w:color w:val="auto"/>
        </w:rPr>
        <w:t>10</w:t>
      </w:r>
      <w:r w:rsidR="00FD26A2" w:rsidRPr="00B81B99">
        <w:rPr>
          <w:color w:val="auto"/>
        </w:rPr>
        <w:t>.0 Related Documents</w:t>
      </w:r>
    </w:p>
    <w:p w14:paraId="76AD3EEA" w14:textId="0FA597A8" w:rsidR="008D46A5" w:rsidRDefault="00892400" w:rsidP="007314E6">
      <w:pPr>
        <w:autoSpaceDE w:val="0"/>
        <w:autoSpaceDN w:val="0"/>
        <w:adjustRightInd w:val="0"/>
        <w:ind w:right="450"/>
        <w:jc w:val="both"/>
        <w:rPr>
          <w:rFonts w:ascii="Arial" w:eastAsia="Arial" w:hAnsi="Arial" w:cs="Arial"/>
          <w:sz w:val="24"/>
          <w:szCs w:val="24"/>
        </w:rPr>
      </w:pPr>
      <w:hyperlink r:id="rId11" w:history="1">
        <w:r w:rsidRPr="008D46A5">
          <w:rPr>
            <w:rStyle w:val="Hyperlink"/>
            <w:rFonts w:ascii="Arial" w:hAnsi="Arial" w:cs="Arial"/>
            <w:sz w:val="24"/>
            <w:szCs w:val="24"/>
            <w:shd w:val="clear" w:color="auto" w:fill="FFFFFF"/>
          </w:rPr>
          <w:t xml:space="preserve">National Institute of Standards and Technology (NIST) Special Publications (SP): </w:t>
        </w:r>
        <w:r w:rsidRPr="008D46A5">
          <w:rPr>
            <w:rStyle w:val="Hyperlink"/>
            <w:rFonts w:ascii="Arial" w:eastAsia="Arial" w:hAnsi="Arial" w:cs="Arial"/>
            <w:sz w:val="24"/>
            <w:szCs w:val="24"/>
          </w:rPr>
          <w:t>NIST SP 800-53a – Personnel Security (PS)</w:t>
        </w:r>
      </w:hyperlink>
    </w:p>
    <w:p w14:paraId="6FFF65F7" w14:textId="77777777" w:rsidR="008D46A5" w:rsidRPr="001209C7" w:rsidRDefault="008D46A5" w:rsidP="008D46A5">
      <w:pPr>
        <w:keepNext/>
        <w:keepLines/>
        <w:spacing w:after="240" w:line="240" w:lineRule="auto"/>
        <w:ind w:right="446"/>
        <w:jc w:val="both"/>
        <w:rPr>
          <w:rFonts w:ascii="Arial" w:hAnsi="Arial" w:cs="Arial"/>
          <w:i/>
          <w:sz w:val="24"/>
          <w:szCs w:val="24"/>
          <w:u w:val="single"/>
        </w:rPr>
      </w:pPr>
      <w:hyperlink r:id="rId12" w:history="1">
        <w:r w:rsidRPr="001209C7">
          <w:rPr>
            <w:rStyle w:val="Hyperlink"/>
            <w:rFonts w:ascii="Arial" w:hAnsi="Arial" w:cs="Arial"/>
            <w:sz w:val="24"/>
            <w:szCs w:val="24"/>
          </w:rPr>
          <w:t>National Institute of Standards and Technology (NIST) Special Publication 800-12, An Introduction to Information Security</w:t>
        </w:r>
      </w:hyperlink>
    </w:p>
    <w:p w14:paraId="33F7A63F" w14:textId="77777777" w:rsidR="008D46A5" w:rsidRPr="00C961FB" w:rsidRDefault="008D46A5" w:rsidP="008D46A5">
      <w:pPr>
        <w:keepNext/>
        <w:keepLines/>
        <w:spacing w:after="240" w:line="240" w:lineRule="auto"/>
        <w:ind w:right="446"/>
        <w:jc w:val="both"/>
        <w:rPr>
          <w:rStyle w:val="Hyperlink"/>
          <w:rFonts w:ascii="Arial" w:hAnsi="Arial" w:cs="Arial"/>
          <w:i/>
          <w:color w:val="auto"/>
          <w:sz w:val="24"/>
          <w:szCs w:val="24"/>
        </w:rPr>
      </w:pPr>
      <w:hyperlink r:id="rId13"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p w14:paraId="74AEC66E" w14:textId="77777777" w:rsidR="008D46A5" w:rsidRDefault="008D46A5" w:rsidP="007314E6">
      <w:pPr>
        <w:autoSpaceDE w:val="0"/>
        <w:autoSpaceDN w:val="0"/>
        <w:adjustRightInd w:val="0"/>
        <w:ind w:right="450"/>
        <w:jc w:val="both"/>
        <w:rPr>
          <w:rFonts w:ascii="Arial" w:eastAsia="Arial" w:hAnsi="Arial" w:cs="Arial"/>
          <w:sz w:val="24"/>
          <w:szCs w:val="24"/>
        </w:rPr>
      </w:pPr>
    </w:p>
    <w:p w14:paraId="72825194" w14:textId="05C2B348" w:rsidR="0073036D" w:rsidRPr="007314E6" w:rsidRDefault="0073036D" w:rsidP="007314E6">
      <w:pPr>
        <w:autoSpaceDE w:val="0"/>
        <w:autoSpaceDN w:val="0"/>
        <w:adjustRightInd w:val="0"/>
        <w:ind w:right="450"/>
        <w:jc w:val="both"/>
        <w:rPr>
          <w:rFonts w:ascii="Arial" w:eastAsia="Arial" w:hAnsi="Arial" w:cs="Arial"/>
          <w:sz w:val="24"/>
          <w:szCs w:val="24"/>
        </w:rPr>
      </w:pPr>
    </w:p>
    <w:sectPr w:rsidR="0073036D" w:rsidRPr="007314E6" w:rsidSect="00E975F1">
      <w:footerReference w:type="default" r:id="rId14"/>
      <w:footerReference w:type="first" r:id="rId15"/>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5B7F4" w14:textId="77777777" w:rsidR="009D6C43" w:rsidRDefault="009D6C43" w:rsidP="00D212FD">
      <w:pPr>
        <w:spacing w:after="0" w:line="240" w:lineRule="auto"/>
      </w:pPr>
      <w:r>
        <w:separator/>
      </w:r>
    </w:p>
  </w:endnote>
  <w:endnote w:type="continuationSeparator" w:id="0">
    <w:p w14:paraId="5D138715" w14:textId="77777777" w:rsidR="009D6C43" w:rsidRDefault="009D6C43" w:rsidP="00D212FD">
      <w:pPr>
        <w:spacing w:after="0" w:line="240" w:lineRule="auto"/>
      </w:pPr>
      <w:r>
        <w:continuationSeparator/>
      </w:r>
    </w:p>
  </w:endnote>
  <w:endnote w:type="continuationNotice" w:id="1">
    <w:p w14:paraId="07FC2CF1" w14:textId="77777777" w:rsidR="009D6C43" w:rsidRDefault="009D6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91CC" w14:textId="1BFF010C" w:rsidR="00CA47EB" w:rsidRPr="00CA47EB" w:rsidRDefault="00CA47EB">
    <w:pPr>
      <w:pStyle w:val="Footer"/>
      <w:rPr>
        <w:rFonts w:ascii="Arial" w:hAnsi="Arial" w:cs="Arial"/>
        <w:b/>
        <w:sz w:val="20"/>
        <w:szCs w:val="16"/>
      </w:rPr>
    </w:pPr>
    <w:r>
      <w:rPr>
        <w:rFonts w:ascii="Arial" w:hAnsi="Arial" w:cs="Arial"/>
        <w:b/>
        <w:sz w:val="20"/>
        <w:szCs w:val="16"/>
      </w:rPr>
      <w:t>Personnel Security Policy</w:t>
    </w:r>
    <w:r w:rsidRPr="00A558A6">
      <w:rPr>
        <w:rFonts w:ascii="Arial" w:hAnsi="Arial" w:cs="Arial"/>
        <w:b/>
        <w:sz w:val="20"/>
        <w:szCs w:val="16"/>
      </w:rPr>
      <w:tab/>
    </w:r>
    <w:r w:rsidRPr="00A558A6">
      <w:rPr>
        <w:rFonts w:ascii="Arial" w:hAnsi="Arial" w:cs="Arial"/>
        <w:b/>
        <w:sz w:val="20"/>
        <w:szCs w:val="16"/>
      </w:rPr>
      <w:tab/>
      <w:t xml:space="preserve">Page </w:t>
    </w:r>
    <w:r w:rsidRPr="00A558A6">
      <w:rPr>
        <w:rFonts w:ascii="Arial" w:hAnsi="Arial" w:cs="Arial"/>
        <w:b/>
        <w:sz w:val="20"/>
        <w:szCs w:val="16"/>
      </w:rPr>
      <w:fldChar w:fldCharType="begin"/>
    </w:r>
    <w:r w:rsidRPr="00A558A6">
      <w:rPr>
        <w:rFonts w:ascii="Arial" w:hAnsi="Arial" w:cs="Arial"/>
        <w:b/>
        <w:sz w:val="20"/>
        <w:szCs w:val="16"/>
      </w:rPr>
      <w:instrText xml:space="preserve"> PAGE </w:instrText>
    </w:r>
    <w:r w:rsidRPr="00A558A6">
      <w:rPr>
        <w:rFonts w:ascii="Arial" w:hAnsi="Arial" w:cs="Arial"/>
        <w:b/>
        <w:sz w:val="20"/>
        <w:szCs w:val="16"/>
      </w:rPr>
      <w:fldChar w:fldCharType="separate"/>
    </w:r>
    <w:r>
      <w:rPr>
        <w:rFonts w:ascii="Arial" w:hAnsi="Arial" w:cs="Arial"/>
        <w:b/>
        <w:sz w:val="20"/>
        <w:szCs w:val="16"/>
      </w:rPr>
      <w:t>1</w:t>
    </w:r>
    <w:r w:rsidRPr="00A558A6">
      <w:rPr>
        <w:rFonts w:ascii="Arial" w:hAnsi="Arial" w:cs="Arial"/>
        <w:b/>
        <w:sz w:val="20"/>
        <w:szCs w:val="16"/>
      </w:rPr>
      <w:fldChar w:fldCharType="end"/>
    </w:r>
    <w:r w:rsidRPr="00A558A6">
      <w:rPr>
        <w:rFonts w:ascii="Arial" w:hAnsi="Arial" w:cs="Arial"/>
        <w:b/>
        <w:sz w:val="20"/>
        <w:szCs w:val="16"/>
      </w:rPr>
      <w:t xml:space="preserve"> of </w:t>
    </w:r>
    <w:r>
      <w:rPr>
        <w:rFonts w:ascii="Arial" w:hAnsi="Arial" w:cs="Arial"/>
        <w:b/>
        <w:sz w:val="20"/>
        <w:szCs w:val="16"/>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9E2" w14:textId="19BECA80" w:rsidR="007B5EB1" w:rsidRPr="007314E6" w:rsidRDefault="007314E6" w:rsidP="007314E6">
    <w:pPr>
      <w:pStyle w:val="Footer"/>
      <w:rPr>
        <w:rFonts w:ascii="Arial" w:hAnsi="Arial" w:cs="Arial"/>
        <w:b/>
        <w:sz w:val="20"/>
        <w:szCs w:val="16"/>
      </w:rPr>
    </w:pPr>
    <w:r>
      <w:rPr>
        <w:rFonts w:ascii="Arial" w:hAnsi="Arial" w:cs="Arial"/>
        <w:b/>
        <w:sz w:val="20"/>
        <w:szCs w:val="16"/>
      </w:rPr>
      <w:t>Personnel Security Policy</w:t>
    </w:r>
    <w:r w:rsidRPr="00A558A6">
      <w:rPr>
        <w:rFonts w:ascii="Arial" w:hAnsi="Arial" w:cs="Arial"/>
        <w:b/>
        <w:sz w:val="20"/>
        <w:szCs w:val="16"/>
      </w:rPr>
      <w:tab/>
    </w:r>
    <w:r w:rsidRPr="00A558A6">
      <w:rPr>
        <w:rFonts w:ascii="Arial" w:hAnsi="Arial" w:cs="Arial"/>
        <w:b/>
        <w:sz w:val="20"/>
        <w:szCs w:val="16"/>
      </w:rPr>
      <w:tab/>
      <w:t xml:space="preserve">Page </w:t>
    </w:r>
    <w:r w:rsidRPr="00A558A6">
      <w:rPr>
        <w:rFonts w:ascii="Arial" w:hAnsi="Arial" w:cs="Arial"/>
        <w:b/>
        <w:sz w:val="20"/>
        <w:szCs w:val="16"/>
      </w:rPr>
      <w:fldChar w:fldCharType="begin"/>
    </w:r>
    <w:r w:rsidRPr="00A558A6">
      <w:rPr>
        <w:rFonts w:ascii="Arial" w:hAnsi="Arial" w:cs="Arial"/>
        <w:b/>
        <w:sz w:val="20"/>
        <w:szCs w:val="16"/>
      </w:rPr>
      <w:instrText xml:space="preserve"> PAGE </w:instrText>
    </w:r>
    <w:r w:rsidRPr="00A558A6">
      <w:rPr>
        <w:rFonts w:ascii="Arial" w:hAnsi="Arial" w:cs="Arial"/>
        <w:b/>
        <w:sz w:val="20"/>
        <w:szCs w:val="16"/>
      </w:rPr>
      <w:fldChar w:fldCharType="separate"/>
    </w:r>
    <w:r>
      <w:rPr>
        <w:rFonts w:ascii="Arial" w:hAnsi="Arial" w:cs="Arial"/>
        <w:b/>
        <w:sz w:val="20"/>
        <w:szCs w:val="16"/>
      </w:rPr>
      <w:t>1</w:t>
    </w:r>
    <w:r w:rsidRPr="00A558A6">
      <w:rPr>
        <w:rFonts w:ascii="Arial" w:hAnsi="Arial" w:cs="Arial"/>
        <w:b/>
        <w:sz w:val="20"/>
        <w:szCs w:val="16"/>
      </w:rPr>
      <w:fldChar w:fldCharType="end"/>
    </w:r>
    <w:r w:rsidRPr="00A558A6">
      <w:rPr>
        <w:rFonts w:ascii="Arial" w:hAnsi="Arial" w:cs="Arial"/>
        <w:b/>
        <w:sz w:val="20"/>
        <w:szCs w:val="16"/>
      </w:rPr>
      <w:t xml:space="preserve"> of </w:t>
    </w:r>
    <w:r>
      <w:rPr>
        <w:rFonts w:ascii="Arial" w:hAnsi="Arial" w:cs="Arial"/>
        <w:b/>
        <w:sz w:val="20"/>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69370" w14:textId="77777777" w:rsidR="009D6C43" w:rsidRDefault="009D6C43" w:rsidP="00D212FD">
      <w:pPr>
        <w:spacing w:after="0" w:line="240" w:lineRule="auto"/>
      </w:pPr>
      <w:r>
        <w:separator/>
      </w:r>
    </w:p>
  </w:footnote>
  <w:footnote w:type="continuationSeparator" w:id="0">
    <w:p w14:paraId="5A9E52A3" w14:textId="77777777" w:rsidR="009D6C43" w:rsidRDefault="009D6C43" w:rsidP="00D212FD">
      <w:pPr>
        <w:spacing w:after="0" w:line="240" w:lineRule="auto"/>
      </w:pPr>
      <w:r>
        <w:continuationSeparator/>
      </w:r>
    </w:p>
  </w:footnote>
  <w:footnote w:type="continuationNotice" w:id="1">
    <w:p w14:paraId="367D9D73" w14:textId="77777777" w:rsidR="009D6C43" w:rsidRDefault="009D6C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465D"/>
    <w:multiLevelType w:val="hybridMultilevel"/>
    <w:tmpl w:val="53F2F138"/>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9306789"/>
    <w:multiLevelType w:val="hybridMultilevel"/>
    <w:tmpl w:val="D1B81516"/>
    <w:lvl w:ilvl="0" w:tplc="04090013">
      <w:start w:val="1"/>
      <w:numFmt w:val="upperRoman"/>
      <w:lvlText w:val="%1."/>
      <w:lvlJc w:val="right"/>
      <w:pPr>
        <w:ind w:left="1440" w:hanging="360"/>
      </w:pPr>
    </w:lvl>
    <w:lvl w:ilvl="1" w:tplc="FFFFFFFF">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2D2DAD"/>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8113819">
    <w:abstractNumId w:val="6"/>
  </w:num>
  <w:num w:numId="2" w16cid:durableId="1815827205">
    <w:abstractNumId w:val="7"/>
  </w:num>
  <w:num w:numId="3" w16cid:durableId="52434624">
    <w:abstractNumId w:val="8"/>
  </w:num>
  <w:num w:numId="4" w16cid:durableId="674069718">
    <w:abstractNumId w:val="39"/>
  </w:num>
  <w:num w:numId="5" w16cid:durableId="594442354">
    <w:abstractNumId w:val="9"/>
  </w:num>
  <w:num w:numId="6" w16cid:durableId="1375344857">
    <w:abstractNumId w:val="16"/>
  </w:num>
  <w:num w:numId="7" w16cid:durableId="1360660980">
    <w:abstractNumId w:val="22"/>
  </w:num>
  <w:num w:numId="8" w16cid:durableId="1339235704">
    <w:abstractNumId w:val="31"/>
  </w:num>
  <w:num w:numId="9" w16cid:durableId="1286156267">
    <w:abstractNumId w:val="24"/>
  </w:num>
  <w:num w:numId="10" w16cid:durableId="1235966983">
    <w:abstractNumId w:val="32"/>
  </w:num>
  <w:num w:numId="11" w16cid:durableId="670253330">
    <w:abstractNumId w:val="11"/>
  </w:num>
  <w:num w:numId="12" w16cid:durableId="847251460">
    <w:abstractNumId w:val="21"/>
  </w:num>
  <w:num w:numId="13" w16cid:durableId="173148899">
    <w:abstractNumId w:val="27"/>
  </w:num>
  <w:num w:numId="14" w16cid:durableId="761296554">
    <w:abstractNumId w:val="38"/>
  </w:num>
  <w:num w:numId="15" w16cid:durableId="1208183693">
    <w:abstractNumId w:val="25"/>
  </w:num>
  <w:num w:numId="16" w16cid:durableId="262498741">
    <w:abstractNumId w:val="37"/>
  </w:num>
  <w:num w:numId="17" w16cid:durableId="52896193">
    <w:abstractNumId w:val="14"/>
  </w:num>
  <w:num w:numId="18" w16cid:durableId="765150037">
    <w:abstractNumId w:val="3"/>
  </w:num>
  <w:num w:numId="19" w16cid:durableId="1615408434">
    <w:abstractNumId w:val="17"/>
  </w:num>
  <w:num w:numId="20" w16cid:durableId="1983803270">
    <w:abstractNumId w:val="4"/>
  </w:num>
  <w:num w:numId="21" w16cid:durableId="1296443868">
    <w:abstractNumId w:val="35"/>
  </w:num>
  <w:num w:numId="22" w16cid:durableId="1212763298">
    <w:abstractNumId w:val="0"/>
  </w:num>
  <w:num w:numId="23" w16cid:durableId="1369183329">
    <w:abstractNumId w:val="20"/>
  </w:num>
  <w:num w:numId="24" w16cid:durableId="1801075149">
    <w:abstractNumId w:val="13"/>
  </w:num>
  <w:num w:numId="25" w16cid:durableId="1803689128">
    <w:abstractNumId w:val="5"/>
  </w:num>
  <w:num w:numId="26" w16cid:durableId="1530099231">
    <w:abstractNumId w:val="25"/>
  </w:num>
  <w:num w:numId="27" w16cid:durableId="1250457275">
    <w:abstractNumId w:val="2"/>
  </w:num>
  <w:num w:numId="28" w16cid:durableId="390423793">
    <w:abstractNumId w:val="26"/>
  </w:num>
  <w:num w:numId="29" w16cid:durableId="370813198">
    <w:abstractNumId w:val="26"/>
  </w:num>
  <w:num w:numId="30" w16cid:durableId="1150554505">
    <w:abstractNumId w:val="1"/>
  </w:num>
  <w:num w:numId="31" w16cid:durableId="895122561">
    <w:abstractNumId w:val="34"/>
  </w:num>
  <w:num w:numId="32" w16cid:durableId="1654719398">
    <w:abstractNumId w:val="12"/>
  </w:num>
  <w:num w:numId="33" w16cid:durableId="895897494">
    <w:abstractNumId w:val="33"/>
  </w:num>
  <w:num w:numId="34" w16cid:durableId="459228676">
    <w:abstractNumId w:val="36"/>
  </w:num>
  <w:num w:numId="35" w16cid:durableId="29427955">
    <w:abstractNumId w:val="19"/>
  </w:num>
  <w:num w:numId="36" w16cid:durableId="1500001408">
    <w:abstractNumId w:val="29"/>
  </w:num>
  <w:num w:numId="37" w16cid:durableId="1265767870">
    <w:abstractNumId w:val="28"/>
  </w:num>
  <w:num w:numId="38" w16cid:durableId="1269701692">
    <w:abstractNumId w:val="15"/>
  </w:num>
  <w:num w:numId="39" w16cid:durableId="1905918811">
    <w:abstractNumId w:val="18"/>
  </w:num>
  <w:num w:numId="40" w16cid:durableId="297229791">
    <w:abstractNumId w:val="30"/>
  </w:num>
  <w:num w:numId="41" w16cid:durableId="661815262">
    <w:abstractNumId w:val="10"/>
  </w:num>
  <w:num w:numId="42" w16cid:durableId="10765901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684B"/>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5BCF"/>
    <w:rsid w:val="0021650D"/>
    <w:rsid w:val="0022609C"/>
    <w:rsid w:val="002335BD"/>
    <w:rsid w:val="002413AD"/>
    <w:rsid w:val="00254F95"/>
    <w:rsid w:val="00263921"/>
    <w:rsid w:val="002657E4"/>
    <w:rsid w:val="0026673E"/>
    <w:rsid w:val="002761BB"/>
    <w:rsid w:val="002867B4"/>
    <w:rsid w:val="002956C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45351"/>
    <w:rsid w:val="00350920"/>
    <w:rsid w:val="0035310E"/>
    <w:rsid w:val="003562C4"/>
    <w:rsid w:val="00360086"/>
    <w:rsid w:val="0036045F"/>
    <w:rsid w:val="003651AC"/>
    <w:rsid w:val="00365F3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37809"/>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1E6A"/>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A670B"/>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470C"/>
    <w:rsid w:val="007153C1"/>
    <w:rsid w:val="00721843"/>
    <w:rsid w:val="0073036D"/>
    <w:rsid w:val="007314E6"/>
    <w:rsid w:val="00734C77"/>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7EAE"/>
    <w:rsid w:val="007B261E"/>
    <w:rsid w:val="007B368A"/>
    <w:rsid w:val="007B3928"/>
    <w:rsid w:val="007B45AC"/>
    <w:rsid w:val="007B5EB1"/>
    <w:rsid w:val="007B7F24"/>
    <w:rsid w:val="007C694B"/>
    <w:rsid w:val="007C75B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2400"/>
    <w:rsid w:val="00896333"/>
    <w:rsid w:val="008B070D"/>
    <w:rsid w:val="008B1DFB"/>
    <w:rsid w:val="008B788C"/>
    <w:rsid w:val="008C0F7E"/>
    <w:rsid w:val="008C1421"/>
    <w:rsid w:val="008C42D9"/>
    <w:rsid w:val="008C69E4"/>
    <w:rsid w:val="008D46A5"/>
    <w:rsid w:val="008D4AC6"/>
    <w:rsid w:val="008E3C71"/>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D6C43"/>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7D70"/>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64F6"/>
    <w:rsid w:val="00C17CED"/>
    <w:rsid w:val="00C23014"/>
    <w:rsid w:val="00C23DE6"/>
    <w:rsid w:val="00C427B2"/>
    <w:rsid w:val="00C44080"/>
    <w:rsid w:val="00C4456F"/>
    <w:rsid w:val="00C545AE"/>
    <w:rsid w:val="00C54CB0"/>
    <w:rsid w:val="00C56F9B"/>
    <w:rsid w:val="00C57773"/>
    <w:rsid w:val="00C73C6D"/>
    <w:rsid w:val="00C83D0F"/>
    <w:rsid w:val="00C97C8F"/>
    <w:rsid w:val="00CA47EB"/>
    <w:rsid w:val="00CA7724"/>
    <w:rsid w:val="00CC7053"/>
    <w:rsid w:val="00CC7981"/>
    <w:rsid w:val="00CD4267"/>
    <w:rsid w:val="00CD4ADC"/>
    <w:rsid w:val="00CD7EB7"/>
    <w:rsid w:val="00CE4838"/>
    <w:rsid w:val="00CF278D"/>
    <w:rsid w:val="00CF2B86"/>
    <w:rsid w:val="00CF71F6"/>
    <w:rsid w:val="00D00D2F"/>
    <w:rsid w:val="00D01A3B"/>
    <w:rsid w:val="00D212FD"/>
    <w:rsid w:val="00D328C7"/>
    <w:rsid w:val="00D57CFA"/>
    <w:rsid w:val="00D62A1C"/>
    <w:rsid w:val="00D66285"/>
    <w:rsid w:val="00D712AA"/>
    <w:rsid w:val="00D80277"/>
    <w:rsid w:val="00D913E5"/>
    <w:rsid w:val="00D95237"/>
    <w:rsid w:val="00DA2ABB"/>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0CEA"/>
    <w:rsid w:val="00E82999"/>
    <w:rsid w:val="00E873C4"/>
    <w:rsid w:val="00E96E1C"/>
    <w:rsid w:val="00E96F90"/>
    <w:rsid w:val="00E975F1"/>
    <w:rsid w:val="00EA323E"/>
    <w:rsid w:val="00EA3255"/>
    <w:rsid w:val="00EA3BCD"/>
    <w:rsid w:val="00EA3CB2"/>
    <w:rsid w:val="00EA5C2E"/>
    <w:rsid w:val="00EA7781"/>
    <w:rsid w:val="00EA7BBE"/>
    <w:rsid w:val="00EB11C6"/>
    <w:rsid w:val="00EC485B"/>
    <w:rsid w:val="00EC65FA"/>
    <w:rsid w:val="00ED03EB"/>
    <w:rsid w:val="00ED05B6"/>
    <w:rsid w:val="00EE52BB"/>
    <w:rsid w:val="00EF0203"/>
    <w:rsid w:val="00EF4365"/>
    <w:rsid w:val="00EF78DB"/>
    <w:rsid w:val="00F027B4"/>
    <w:rsid w:val="00F11664"/>
    <w:rsid w:val="00F118FB"/>
    <w:rsid w:val="00F21071"/>
    <w:rsid w:val="00F274B4"/>
    <w:rsid w:val="00F3027D"/>
    <w:rsid w:val="00F3304A"/>
    <w:rsid w:val="00F4345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62D56471-8C43-474D-AB01-D42CCCD1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E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36</TotalTime>
  <Pages>6</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12</cp:revision>
  <dcterms:created xsi:type="dcterms:W3CDTF">2019-11-04T16:21:00Z</dcterms:created>
  <dcterms:modified xsi:type="dcterms:W3CDTF">2024-10-14T16:32:00Z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