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4ED9598C" w:rsidR="009D4DB0" w:rsidRPr="00B81B99" w:rsidRDefault="00892400" w:rsidP="009D4DB0">
            <w:pPr>
              <w:spacing w:after="240" w:line="240" w:lineRule="auto"/>
              <w:jc w:val="center"/>
              <w:rPr>
                <w:rFonts w:ascii="Arial" w:hAnsi="Arial" w:cs="Arial"/>
                <w:b/>
                <w:sz w:val="52"/>
                <w:szCs w:val="52"/>
              </w:rPr>
            </w:pPr>
            <w:r w:rsidRPr="00892400">
              <w:rPr>
                <w:rFonts w:ascii="Arial" w:hAnsi="Arial" w:cs="Arial"/>
                <w:b/>
                <w:sz w:val="40"/>
              </w:rPr>
              <w:t>Personnel Security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46F3D9B1" w14:textId="77777777" w:rsidR="00892400" w:rsidRPr="00892400" w:rsidRDefault="00892400" w:rsidP="00892400">
      <w:pPr>
        <w:rPr>
          <w:rFonts w:ascii="Arial" w:eastAsia="Arial" w:hAnsi="Arial" w:cs="Arial"/>
          <w:i/>
          <w:iCs/>
          <w:color w:val="FF0000"/>
          <w:sz w:val="24"/>
          <w:szCs w:val="24"/>
        </w:rPr>
      </w:pPr>
      <w:r w:rsidRPr="00892400">
        <w:rPr>
          <w:rFonts w:ascii="Arial" w:eastAsia="Arial" w:hAnsi="Arial" w:cs="Arial"/>
          <w:i/>
          <w:iCs/>
          <w:color w:val="FF0000"/>
          <w:sz w:val="24"/>
          <w:szCs w:val="24"/>
        </w:rPr>
        <w:t>To ensure that personnel security safeguards are applied to the access and use of information technology resources and data.</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Pr="003F1E53" w:rsidRDefault="003F1E53" w:rsidP="00EB11C6">
      <w:pPr>
        <w:ind w:right="180"/>
        <w:jc w:val="both"/>
        <w:rPr>
          <w:rFonts w:ascii="Arial" w:hAnsi="Arial" w:cs="Arial"/>
          <w:color w:val="C00000"/>
          <w:sz w:val="24"/>
          <w:szCs w:val="24"/>
        </w:rPr>
      </w:pPr>
      <w:r w:rsidRPr="003F1E53">
        <w:rPr>
          <w:rFonts w:ascii="Arial" w:hAnsi="Arial" w:cs="Arial"/>
          <w:i/>
          <w:iCs/>
          <w:color w:val="C00000"/>
          <w:sz w:val="24"/>
          <w:szCs w:val="24"/>
        </w:rPr>
        <w:t>[Authority Needed]</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Pr="0074416F"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46754D74" w:rsidR="00AB6B64" w:rsidRPr="00734C77" w:rsidRDefault="00892400" w:rsidP="00734C77">
      <w:pPr>
        <w:ind w:right="446"/>
        <w:jc w:val="both"/>
        <w:rPr>
          <w:rFonts w:ascii="Arial" w:hAnsi="Arial" w:cs="Arial"/>
          <w:color w:val="C00000"/>
          <w:sz w:val="24"/>
          <w:szCs w:val="24"/>
        </w:rPr>
      </w:pPr>
      <w:r w:rsidRPr="00734C77">
        <w:rPr>
          <w:rFonts w:ascii="Arial" w:hAnsi="Arial" w:cs="Arial"/>
          <w:sz w:val="24"/>
          <w:szCs w:val="24"/>
        </w:rPr>
        <w:t>This policy is applicable to all departments and users of IT resources and assets.</w:t>
      </w:r>
    </w:p>
    <w:p w14:paraId="21FDC58A" w14:textId="1880C7C6" w:rsidR="00734C77" w:rsidRPr="00734C77" w:rsidRDefault="00892400"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Position Risk Designation</w:t>
      </w:r>
    </w:p>
    <w:p w14:paraId="05455297" w14:textId="623C3BD6" w:rsidR="00734C77" w:rsidRPr="00734C77" w:rsidRDefault="00734C77" w:rsidP="00734C77">
      <w:pPr>
        <w:ind w:left="86" w:right="446" w:firstLine="360"/>
        <w:jc w:val="both"/>
        <w:rPr>
          <w:rFonts w:ascii="Arial" w:hAnsi="Arial" w:cs="Arial"/>
          <w:color w:val="C00000"/>
          <w:sz w:val="24"/>
          <w:szCs w:val="24"/>
        </w:rPr>
      </w:pPr>
      <w:r w:rsidRPr="00734C77">
        <w:rPr>
          <w:rFonts w:ascii="Arial" w:hAnsi="Arial" w:cs="Arial"/>
          <w:sz w:val="24"/>
          <w:szCs w:val="24"/>
        </w:rPr>
        <w:t>Information Technology (IT) shall:</w:t>
      </w:r>
    </w:p>
    <w:p w14:paraId="0B966F10" w14:textId="493C1BA8" w:rsidR="0075131B" w:rsidRPr="0010168A" w:rsidRDefault="00734C77" w:rsidP="00587924">
      <w:pPr>
        <w:numPr>
          <w:ilvl w:val="1"/>
          <w:numId w:val="33"/>
        </w:numPr>
        <w:spacing w:after="120" w:line="240" w:lineRule="auto"/>
        <w:ind w:left="806" w:right="446"/>
        <w:jc w:val="both"/>
        <w:rPr>
          <w:rFonts w:ascii="Arial" w:hAnsi="Arial" w:cs="Arial"/>
          <w:sz w:val="24"/>
          <w:szCs w:val="24"/>
        </w:rPr>
      </w:pPr>
      <w:r w:rsidRPr="00734C77">
        <w:rPr>
          <w:rFonts w:ascii="Arial" w:hAnsi="Arial" w:cs="Arial"/>
          <w:sz w:val="24"/>
          <w:szCs w:val="24"/>
        </w:rPr>
        <w:t>Assign a risk designation to all positions.</w:t>
      </w:r>
    </w:p>
    <w:p w14:paraId="252F6240" w14:textId="4D965101" w:rsidR="0075131B" w:rsidRDefault="00734C77" w:rsidP="00587924">
      <w:pPr>
        <w:numPr>
          <w:ilvl w:val="1"/>
          <w:numId w:val="33"/>
        </w:numPr>
        <w:spacing w:line="240" w:lineRule="auto"/>
        <w:ind w:left="810" w:right="446"/>
        <w:jc w:val="both"/>
        <w:rPr>
          <w:rFonts w:ascii="Arial" w:hAnsi="Arial" w:cs="Arial"/>
          <w:sz w:val="24"/>
          <w:szCs w:val="24"/>
        </w:rPr>
      </w:pPr>
      <w:r w:rsidRPr="00734C77">
        <w:rPr>
          <w:rFonts w:ascii="Arial" w:hAnsi="Arial" w:cs="Arial"/>
          <w:sz w:val="24"/>
          <w:szCs w:val="24"/>
        </w:rPr>
        <w:t>Establish screening criteria for individuals filling those positions.</w:t>
      </w:r>
    </w:p>
    <w:p w14:paraId="0C3EB947" w14:textId="638F61DD" w:rsidR="00892400" w:rsidRPr="0010168A" w:rsidRDefault="00734C77" w:rsidP="00587924">
      <w:pPr>
        <w:numPr>
          <w:ilvl w:val="1"/>
          <w:numId w:val="33"/>
        </w:numPr>
        <w:spacing w:line="240" w:lineRule="auto"/>
        <w:ind w:left="810" w:right="446"/>
        <w:jc w:val="both"/>
        <w:rPr>
          <w:rFonts w:ascii="Arial" w:hAnsi="Arial" w:cs="Arial"/>
          <w:sz w:val="24"/>
          <w:szCs w:val="24"/>
        </w:rPr>
      </w:pPr>
      <w:r w:rsidRPr="00734C77">
        <w:rPr>
          <w:rFonts w:ascii="Arial" w:hAnsi="Arial" w:cs="Arial"/>
          <w:sz w:val="24"/>
          <w:szCs w:val="24"/>
        </w:rPr>
        <w:t>Review and update position risk designations [entity defined frequency].</w:t>
      </w:r>
    </w:p>
    <w:p w14:paraId="25D8F5E3" w14:textId="482C0505" w:rsidR="00AB6B64" w:rsidRPr="0010168A" w:rsidRDefault="00892400"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Screening</w:t>
      </w:r>
    </w:p>
    <w:p w14:paraId="0F5DC7A1" w14:textId="6C14C4E8" w:rsidR="0075131B" w:rsidRPr="0010168A" w:rsidRDefault="00734C77" w:rsidP="00587924">
      <w:pPr>
        <w:numPr>
          <w:ilvl w:val="0"/>
          <w:numId w:val="32"/>
        </w:numPr>
        <w:spacing w:after="120" w:line="240" w:lineRule="auto"/>
        <w:ind w:left="806" w:right="446"/>
        <w:jc w:val="both"/>
        <w:rPr>
          <w:rFonts w:ascii="Arial" w:hAnsi="Arial" w:cs="Arial"/>
          <w:sz w:val="24"/>
          <w:szCs w:val="24"/>
        </w:rPr>
      </w:pPr>
      <w:r w:rsidRPr="00734C77">
        <w:rPr>
          <w:rFonts w:ascii="Arial" w:hAnsi="Arial" w:cs="Arial"/>
          <w:sz w:val="24"/>
          <w:szCs w:val="24"/>
        </w:rPr>
        <w:t>Screen individuals prior to authorizing access to the information systems.</w:t>
      </w:r>
    </w:p>
    <w:p w14:paraId="1BC02DE1" w14:textId="14230617" w:rsidR="0075131B" w:rsidRDefault="00734C77" w:rsidP="00587924">
      <w:pPr>
        <w:numPr>
          <w:ilvl w:val="0"/>
          <w:numId w:val="32"/>
        </w:numPr>
        <w:spacing w:line="240" w:lineRule="auto"/>
        <w:ind w:left="810" w:right="446"/>
        <w:jc w:val="both"/>
        <w:rPr>
          <w:rFonts w:ascii="Arial" w:hAnsi="Arial" w:cs="Arial"/>
          <w:sz w:val="24"/>
          <w:szCs w:val="24"/>
        </w:rPr>
      </w:pPr>
      <w:r w:rsidRPr="00734C77">
        <w:rPr>
          <w:rFonts w:ascii="Arial" w:hAnsi="Arial" w:cs="Arial"/>
          <w:sz w:val="24"/>
          <w:szCs w:val="24"/>
        </w:rPr>
        <w:t>Rescreen individuals according to [entity defined conditions requiring rescreening and, where rescreening is so indicated, the frequency of such rescreening].</w:t>
      </w:r>
    </w:p>
    <w:p w14:paraId="7DFCDD0B" w14:textId="14CD9FA5" w:rsidR="007A7EAE" w:rsidRPr="0010168A" w:rsidRDefault="00734C77" w:rsidP="00587924">
      <w:pPr>
        <w:numPr>
          <w:ilvl w:val="0"/>
          <w:numId w:val="32"/>
        </w:numPr>
        <w:spacing w:line="240" w:lineRule="auto"/>
        <w:ind w:left="810" w:right="446"/>
        <w:jc w:val="both"/>
        <w:rPr>
          <w:rFonts w:ascii="Arial" w:hAnsi="Arial" w:cs="Arial"/>
          <w:sz w:val="24"/>
          <w:szCs w:val="24"/>
        </w:rPr>
      </w:pPr>
      <w:r w:rsidRPr="00734C77">
        <w:rPr>
          <w:rFonts w:ascii="Arial" w:hAnsi="Arial" w:cs="Arial"/>
          <w:sz w:val="24"/>
          <w:szCs w:val="24"/>
        </w:rPr>
        <w:lastRenderedPageBreak/>
        <w:t>Ensure personnel screening and rescreening activities reflect applicable state and federal laws, directives, regulations, policies, standards, guidance, and specific criteria established for the risk designations of assigned positions.</w:t>
      </w:r>
    </w:p>
    <w:p w14:paraId="36ACC1AB" w14:textId="42C8F1AA" w:rsidR="00AB6B64" w:rsidRPr="0010168A" w:rsidRDefault="007A7EAE"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Termination</w:t>
      </w:r>
    </w:p>
    <w:p w14:paraId="1C8E880D" w14:textId="5E4EA47F" w:rsidR="0075131B" w:rsidRPr="0010168A" w:rsidRDefault="00734C77" w:rsidP="00587924">
      <w:pPr>
        <w:numPr>
          <w:ilvl w:val="0"/>
          <w:numId w:val="34"/>
        </w:numPr>
        <w:spacing w:after="120" w:line="240" w:lineRule="auto"/>
        <w:ind w:left="806" w:right="446"/>
        <w:jc w:val="both"/>
        <w:rPr>
          <w:rFonts w:ascii="Arial" w:hAnsi="Arial" w:cs="Arial"/>
          <w:sz w:val="24"/>
          <w:szCs w:val="24"/>
        </w:rPr>
      </w:pPr>
      <w:r w:rsidRPr="00734C77">
        <w:rPr>
          <w:rFonts w:ascii="Arial" w:hAnsi="Arial" w:cs="Arial"/>
          <w:sz w:val="24"/>
          <w:szCs w:val="24"/>
        </w:rPr>
        <w:t xml:space="preserve">Disable information system access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w:t>
      </w:r>
    </w:p>
    <w:p w14:paraId="230626C7" w14:textId="5387850A" w:rsidR="0075131B" w:rsidRPr="0010168A" w:rsidRDefault="00734C77" w:rsidP="00587924">
      <w:pPr>
        <w:numPr>
          <w:ilvl w:val="0"/>
          <w:numId w:val="34"/>
        </w:numPr>
        <w:spacing w:after="120" w:line="240" w:lineRule="auto"/>
        <w:ind w:left="806" w:right="446"/>
        <w:jc w:val="both"/>
        <w:rPr>
          <w:rFonts w:ascii="Arial" w:hAnsi="Arial" w:cs="Arial"/>
          <w:sz w:val="24"/>
          <w:szCs w:val="24"/>
        </w:rPr>
      </w:pPr>
      <w:r w:rsidRPr="00734C77">
        <w:rPr>
          <w:rFonts w:ascii="Arial" w:hAnsi="Arial" w:cs="Arial"/>
          <w:sz w:val="24"/>
          <w:szCs w:val="24"/>
        </w:rPr>
        <w:t>Terminate/revoke any authenticators/credentials associated with the individual.</w:t>
      </w:r>
    </w:p>
    <w:p w14:paraId="3E0A61C8" w14:textId="658C5436" w:rsidR="0075131B" w:rsidRPr="0010168A"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Conduct exit interviews that include a discussion of [entity defined information security topics].</w:t>
      </w:r>
    </w:p>
    <w:p w14:paraId="2F56060E" w14:textId="77BE95F8" w:rsidR="0075131B"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Retrieve all security-related information system-related property.</w:t>
      </w:r>
    </w:p>
    <w:p w14:paraId="0E30434D" w14:textId="56BEFB61" w:rsidR="007A7EAE"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 xml:space="preserve">Retain access to information and information systems formerly controlled by terminated </w:t>
      </w:r>
      <w:proofErr w:type="gramStart"/>
      <w:r w:rsidRPr="00734C77">
        <w:rPr>
          <w:rFonts w:ascii="Arial" w:hAnsi="Arial" w:cs="Arial"/>
          <w:sz w:val="24"/>
          <w:szCs w:val="24"/>
        </w:rPr>
        <w:t>individual</w:t>
      </w:r>
      <w:proofErr w:type="gramEnd"/>
      <w:r w:rsidRPr="00734C77">
        <w:rPr>
          <w:rFonts w:ascii="Arial" w:hAnsi="Arial" w:cs="Arial"/>
          <w:sz w:val="24"/>
          <w:szCs w:val="24"/>
        </w:rPr>
        <w:t>.</w:t>
      </w:r>
    </w:p>
    <w:p w14:paraId="2CB218C6" w14:textId="73B3E0AB" w:rsidR="007A7EAE"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 xml:space="preserve">Notify [entity defined personnel or roles]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w:t>
      </w:r>
    </w:p>
    <w:p w14:paraId="4F2FCF4F" w14:textId="6727F3BE" w:rsidR="00734C77" w:rsidRDefault="00734C77" w:rsidP="00734C77">
      <w:pPr>
        <w:spacing w:line="240" w:lineRule="auto"/>
        <w:ind w:left="810" w:right="446"/>
        <w:jc w:val="both"/>
        <w:rPr>
          <w:rFonts w:ascii="Arial" w:hAnsi="Arial" w:cs="Arial"/>
          <w:sz w:val="24"/>
          <w:szCs w:val="24"/>
        </w:rPr>
      </w:pPr>
      <w:r w:rsidRPr="00734C77">
        <w:rPr>
          <w:rFonts w:ascii="Arial" w:hAnsi="Arial" w:cs="Arial"/>
          <w:sz w:val="24"/>
          <w:szCs w:val="24"/>
        </w:rPr>
        <w:t>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employees and that proper accountability is achieved for information system-related property. Security topics of interest at exit interviews can include, for example, reminding terminated individuals of nondisclosure agreements and potential limitations on future employment. Exit interviews may not be possible for some terminated individuals.</w:t>
      </w:r>
    </w:p>
    <w:p w14:paraId="1564A95D" w14:textId="51A381F6" w:rsidR="007A7EAE"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n</w:t>
      </w:r>
      <w:r w:rsidRPr="00734C77">
        <w:rPr>
          <w:rFonts w:ascii="Arial" w:hAnsi="Arial" w:cs="Arial"/>
          <w:sz w:val="24"/>
          <w:szCs w:val="24"/>
        </w:rPr>
        <w:t>otify terminated individuals of applicable, legally binding post-employment requirements for the protection of information.</w:t>
      </w:r>
    </w:p>
    <w:p w14:paraId="1D7AD2FE" w14:textId="26896141" w:rsidR="007A7EAE"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r</w:t>
      </w:r>
      <w:r w:rsidRPr="00734C77">
        <w:rPr>
          <w:rFonts w:ascii="Arial" w:hAnsi="Arial" w:cs="Arial"/>
          <w:sz w:val="24"/>
          <w:szCs w:val="24"/>
        </w:rPr>
        <w:t>equire terminated individuals to sign an acknowledgment of post-employment requirements as part of the termination process as directed by Counsel and Human Resources (HR).</w:t>
      </w:r>
    </w:p>
    <w:p w14:paraId="4E07BEC6" w14:textId="151C7F46" w:rsidR="007A7EAE" w:rsidRPr="0010168A"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e</w:t>
      </w:r>
      <w:r w:rsidRPr="00734C77">
        <w:rPr>
          <w:rFonts w:ascii="Arial" w:hAnsi="Arial" w:cs="Arial"/>
          <w:sz w:val="24"/>
          <w:szCs w:val="24"/>
        </w:rPr>
        <w:t>mploy automated mechanisms to notify [entity defined personnel or roles] upon termination of an individual.</w:t>
      </w:r>
    </w:p>
    <w:p w14:paraId="44E11A4B" w14:textId="49725390" w:rsidR="00734C77" w:rsidRPr="00734C77" w:rsidRDefault="007A7EAE"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Transfer</w:t>
      </w:r>
    </w:p>
    <w:p w14:paraId="0EDF9B5B" w14:textId="66150567"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Departments </w:t>
      </w:r>
      <w:r w:rsidRPr="00734C77">
        <w:rPr>
          <w:rFonts w:ascii="Arial" w:hAnsi="Arial" w:cs="Arial"/>
          <w:sz w:val="24"/>
          <w:szCs w:val="24"/>
        </w:rPr>
        <w:t>shall:</w:t>
      </w:r>
    </w:p>
    <w:p w14:paraId="19144789" w14:textId="15DAD5FA" w:rsidR="0075131B" w:rsidRPr="0010168A"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Review and confirm ongoing operational need for current logical and physical access authorizations to information systems/facilities when individuals are reassigned or transferred to other positions.</w:t>
      </w:r>
    </w:p>
    <w:p w14:paraId="3A090DE3" w14:textId="6F4C6BF6" w:rsidR="0075131B" w:rsidRPr="0010168A"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 xml:space="preserve">Initiate [entity defined transfer or reassignment actions]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 xml:space="preserve"> following the formal transfer action].</w:t>
      </w:r>
    </w:p>
    <w:p w14:paraId="0866A35F" w14:textId="69186087" w:rsidR="0075131B"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lastRenderedPageBreak/>
        <w:t>Modify access authorization as needed to correspond with any changes in operational need due to reassignment or transfer.</w:t>
      </w:r>
    </w:p>
    <w:p w14:paraId="4AE35696" w14:textId="60EA8171" w:rsidR="00734C77" w:rsidRPr="00734C77" w:rsidRDefault="00734C77" w:rsidP="00734C77">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 xml:space="preserve">Notify [entity defined personnel]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 of transfer.</w:t>
      </w:r>
    </w:p>
    <w:p w14:paraId="02553934" w14:textId="46B4DB40" w:rsidR="00734C77" w:rsidRPr="0010168A" w:rsidRDefault="00734C77" w:rsidP="00734C77">
      <w:pPr>
        <w:spacing w:after="120" w:line="240" w:lineRule="auto"/>
        <w:ind w:left="720" w:right="446"/>
        <w:jc w:val="both"/>
        <w:rPr>
          <w:rFonts w:ascii="Arial" w:hAnsi="Arial" w:cs="Arial"/>
          <w:sz w:val="24"/>
          <w:szCs w:val="24"/>
        </w:rPr>
      </w:pPr>
      <w:r w:rsidRPr="00734C77">
        <w:rPr>
          <w:rFonts w:ascii="Arial" w:hAnsi="Arial" w:cs="Arial"/>
          <w:sz w:val="24"/>
          <w:szCs w:val="24"/>
        </w:rPr>
        <w:t xml:space="preserve">This control applies when reassignments or transfers of individuals are permanent or </w:t>
      </w:r>
      <w:proofErr w:type="gramStart"/>
      <w:r w:rsidRPr="00734C77">
        <w:rPr>
          <w:rFonts w:ascii="Arial" w:hAnsi="Arial" w:cs="Arial"/>
          <w:sz w:val="24"/>
          <w:szCs w:val="24"/>
        </w:rPr>
        <w:t>of</w:t>
      </w:r>
      <w:proofErr w:type="gramEnd"/>
      <w:r w:rsidRPr="00734C77">
        <w:rPr>
          <w:rFonts w:ascii="Arial" w:hAnsi="Arial" w:cs="Arial"/>
          <w:sz w:val="24"/>
          <w:szCs w:val="24"/>
        </w:rPr>
        <w:t xml:space="preserve"> such extended durations as to make the actions warranted.</w:t>
      </w:r>
    </w:p>
    <w:p w14:paraId="642C6EF3" w14:textId="48318F51" w:rsidR="00734C77" w:rsidRPr="00734C77" w:rsidRDefault="007A7EAE"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Agreements</w:t>
      </w:r>
    </w:p>
    <w:p w14:paraId="564932FA" w14:textId="3053E5C7"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Departments </w:t>
      </w:r>
      <w:r w:rsidRPr="00734C77">
        <w:rPr>
          <w:rFonts w:ascii="Arial" w:hAnsi="Arial" w:cs="Arial"/>
          <w:sz w:val="24"/>
          <w:szCs w:val="24"/>
        </w:rPr>
        <w:t>shall:</w:t>
      </w:r>
    </w:p>
    <w:p w14:paraId="16AB90C6" w14:textId="367BEF8F" w:rsidR="0075131B" w:rsidRPr="0010168A" w:rsidRDefault="00734C77" w:rsidP="00587924">
      <w:pPr>
        <w:numPr>
          <w:ilvl w:val="0"/>
          <w:numId w:val="36"/>
        </w:numPr>
        <w:spacing w:after="120" w:line="240" w:lineRule="auto"/>
        <w:ind w:left="806" w:right="446"/>
        <w:jc w:val="both"/>
        <w:rPr>
          <w:rFonts w:ascii="Arial" w:hAnsi="Arial" w:cs="Arial"/>
          <w:sz w:val="24"/>
          <w:szCs w:val="24"/>
        </w:rPr>
      </w:pPr>
      <w:r w:rsidRPr="00734C77">
        <w:rPr>
          <w:rFonts w:ascii="Arial" w:hAnsi="Arial" w:cs="Arial"/>
          <w:sz w:val="24"/>
          <w:szCs w:val="24"/>
        </w:rPr>
        <w:t>Develop and document access agreements for information systems.</w:t>
      </w:r>
    </w:p>
    <w:p w14:paraId="4EDDA9DC" w14:textId="6A075605" w:rsidR="0075131B" w:rsidRPr="0010168A" w:rsidRDefault="00734C77" w:rsidP="00587924">
      <w:pPr>
        <w:numPr>
          <w:ilvl w:val="0"/>
          <w:numId w:val="36"/>
        </w:numPr>
        <w:spacing w:after="120" w:line="240" w:lineRule="auto"/>
        <w:ind w:left="806" w:right="446"/>
        <w:jc w:val="both"/>
        <w:rPr>
          <w:rFonts w:ascii="Arial" w:hAnsi="Arial" w:cs="Arial"/>
          <w:sz w:val="24"/>
          <w:szCs w:val="24"/>
        </w:rPr>
      </w:pPr>
      <w:r w:rsidRPr="00734C77">
        <w:rPr>
          <w:rFonts w:ascii="Arial" w:hAnsi="Arial" w:cs="Arial"/>
          <w:sz w:val="24"/>
          <w:szCs w:val="24"/>
        </w:rPr>
        <w:t>Review and update the access agreements [entity defined frequency].</w:t>
      </w:r>
    </w:p>
    <w:p w14:paraId="4DC12B46" w14:textId="2B795D91" w:rsidR="007A7EAE" w:rsidRDefault="00734C77" w:rsidP="007A7EAE">
      <w:pPr>
        <w:numPr>
          <w:ilvl w:val="0"/>
          <w:numId w:val="36"/>
        </w:numPr>
        <w:spacing w:line="240" w:lineRule="auto"/>
        <w:ind w:left="810" w:right="446"/>
        <w:jc w:val="both"/>
        <w:rPr>
          <w:rFonts w:ascii="Arial" w:hAnsi="Arial" w:cs="Arial"/>
          <w:sz w:val="24"/>
          <w:szCs w:val="24"/>
        </w:rPr>
      </w:pPr>
      <w:r w:rsidRPr="00734C77">
        <w:rPr>
          <w:rFonts w:ascii="Arial" w:hAnsi="Arial" w:cs="Arial"/>
          <w:sz w:val="24"/>
          <w:szCs w:val="24"/>
        </w:rPr>
        <w:t xml:space="preserve">Ensure that individuals </w:t>
      </w:r>
      <w:proofErr w:type="gramStart"/>
      <w:r w:rsidRPr="00734C77">
        <w:rPr>
          <w:rFonts w:ascii="Arial" w:hAnsi="Arial" w:cs="Arial"/>
          <w:sz w:val="24"/>
          <w:szCs w:val="24"/>
        </w:rPr>
        <w:t>requiring</w:t>
      </w:r>
      <w:proofErr w:type="gramEnd"/>
      <w:r w:rsidRPr="00734C77">
        <w:rPr>
          <w:rFonts w:ascii="Arial" w:hAnsi="Arial" w:cs="Arial"/>
          <w:sz w:val="24"/>
          <w:szCs w:val="24"/>
        </w:rPr>
        <w:t xml:space="preserve"> access to information and information systems:</w:t>
      </w:r>
    </w:p>
    <w:p w14:paraId="235DDAE7" w14:textId="376F9170" w:rsidR="00734C77" w:rsidRDefault="00734C77" w:rsidP="00B27D70">
      <w:pPr>
        <w:numPr>
          <w:ilvl w:val="0"/>
          <w:numId w:val="42"/>
        </w:numPr>
        <w:spacing w:line="240" w:lineRule="auto"/>
        <w:ind w:right="446"/>
        <w:jc w:val="both"/>
        <w:rPr>
          <w:rFonts w:ascii="Arial" w:hAnsi="Arial" w:cs="Arial"/>
          <w:sz w:val="24"/>
          <w:szCs w:val="24"/>
        </w:rPr>
      </w:pPr>
      <w:r w:rsidRPr="00734C77">
        <w:rPr>
          <w:rFonts w:ascii="Arial" w:hAnsi="Arial" w:cs="Arial"/>
          <w:sz w:val="24"/>
          <w:szCs w:val="24"/>
        </w:rPr>
        <w:t>Sign appropriate access agreements prior to being granted access.</w:t>
      </w:r>
    </w:p>
    <w:p w14:paraId="7003CF4A" w14:textId="04DA64C7" w:rsidR="00734C77" w:rsidRDefault="00734C77" w:rsidP="00B27D70">
      <w:pPr>
        <w:numPr>
          <w:ilvl w:val="0"/>
          <w:numId w:val="42"/>
        </w:numPr>
        <w:spacing w:line="240" w:lineRule="auto"/>
        <w:ind w:right="446"/>
        <w:jc w:val="both"/>
        <w:rPr>
          <w:rFonts w:ascii="Arial" w:hAnsi="Arial" w:cs="Arial"/>
          <w:sz w:val="24"/>
          <w:szCs w:val="24"/>
        </w:rPr>
      </w:pPr>
      <w:r w:rsidRPr="00734C77">
        <w:rPr>
          <w:rFonts w:ascii="Arial" w:hAnsi="Arial" w:cs="Arial"/>
          <w:sz w:val="24"/>
          <w:szCs w:val="24"/>
        </w:rPr>
        <w:t>Re-sign access agreements to maintain access to information systems when access agreements have been updated or [entity defined frequency].</w:t>
      </w:r>
    </w:p>
    <w:p w14:paraId="3766B0BA" w14:textId="0A2ED1E8" w:rsidR="00734C77" w:rsidRDefault="00734C77" w:rsidP="00734C77">
      <w:pPr>
        <w:spacing w:line="240" w:lineRule="auto"/>
        <w:ind w:left="810" w:right="446"/>
        <w:jc w:val="both"/>
        <w:rPr>
          <w:rFonts w:ascii="Arial" w:hAnsi="Arial" w:cs="Arial"/>
          <w:sz w:val="24"/>
          <w:szCs w:val="24"/>
        </w:rPr>
      </w:pPr>
      <w:r w:rsidRPr="00734C77">
        <w:rPr>
          <w:rFonts w:ascii="Arial" w:hAnsi="Arial" w:cs="Arial"/>
          <w:sz w:val="24"/>
          <w:szCs w:val="24"/>
        </w:rPr>
        <w:t>Access agreements include, for example, nondisclosure agreements, acceptable use agreements, rules of behavior, and conflict-of-interest agreements.</w:t>
      </w:r>
    </w:p>
    <w:p w14:paraId="18C8FCE3" w14:textId="6AED51B1" w:rsidR="00734C77" w:rsidRPr="00734C77" w:rsidRDefault="007A7EAE" w:rsidP="00734C77">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Access Agreements Third-Party Personnel Security</w:t>
      </w:r>
    </w:p>
    <w:p w14:paraId="32CA34BA" w14:textId="6A0F20D2"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IT Department </w:t>
      </w:r>
      <w:r w:rsidRPr="00734C77">
        <w:rPr>
          <w:rFonts w:ascii="Arial" w:hAnsi="Arial" w:cs="Arial"/>
          <w:sz w:val="24"/>
          <w:szCs w:val="24"/>
        </w:rPr>
        <w:t>shall:</w:t>
      </w:r>
    </w:p>
    <w:p w14:paraId="046A76C6" w14:textId="27EF5EAE" w:rsidR="007A7EAE" w:rsidRPr="0010168A" w:rsidRDefault="00734C77" w:rsidP="007A7EAE">
      <w:pPr>
        <w:numPr>
          <w:ilvl w:val="0"/>
          <w:numId w:val="39"/>
        </w:numPr>
        <w:spacing w:after="120" w:line="240" w:lineRule="auto"/>
        <w:ind w:right="446"/>
        <w:jc w:val="both"/>
        <w:rPr>
          <w:rFonts w:ascii="Arial" w:hAnsi="Arial" w:cs="Arial"/>
          <w:sz w:val="24"/>
          <w:szCs w:val="24"/>
        </w:rPr>
      </w:pPr>
      <w:r w:rsidRPr="00734C77">
        <w:rPr>
          <w:rFonts w:ascii="Arial" w:hAnsi="Arial" w:cs="Arial"/>
          <w:sz w:val="24"/>
          <w:szCs w:val="24"/>
        </w:rPr>
        <w:t>Establish and document personnel security requirements including security roles and responsibilities for third-party providers.</w:t>
      </w:r>
    </w:p>
    <w:p w14:paraId="035B2DC0" w14:textId="251003FE" w:rsidR="007A7EAE" w:rsidRPr="0010168A" w:rsidRDefault="00734C77" w:rsidP="007A7EAE">
      <w:pPr>
        <w:numPr>
          <w:ilvl w:val="0"/>
          <w:numId w:val="39"/>
        </w:numPr>
        <w:spacing w:after="120" w:line="240" w:lineRule="auto"/>
        <w:ind w:right="446"/>
        <w:jc w:val="both"/>
        <w:rPr>
          <w:rFonts w:ascii="Arial" w:hAnsi="Arial" w:cs="Arial"/>
          <w:sz w:val="24"/>
          <w:szCs w:val="24"/>
        </w:rPr>
      </w:pPr>
      <w:r w:rsidRPr="00734C77">
        <w:rPr>
          <w:rFonts w:ascii="Arial" w:hAnsi="Arial" w:cs="Arial"/>
          <w:sz w:val="24"/>
          <w:szCs w:val="24"/>
        </w:rPr>
        <w:t>Require third-party providers to comply with personnel security policies and procedures established by the entity.</w:t>
      </w:r>
    </w:p>
    <w:p w14:paraId="5BF6E279" w14:textId="7275E563" w:rsidR="007A7EAE" w:rsidRDefault="00734C77" w:rsidP="007A7EAE">
      <w:pPr>
        <w:numPr>
          <w:ilvl w:val="0"/>
          <w:numId w:val="39"/>
        </w:numPr>
        <w:spacing w:line="240" w:lineRule="auto"/>
        <w:ind w:left="810" w:right="446"/>
        <w:jc w:val="both"/>
        <w:rPr>
          <w:rFonts w:ascii="Arial" w:hAnsi="Arial" w:cs="Arial"/>
          <w:sz w:val="24"/>
          <w:szCs w:val="24"/>
        </w:rPr>
      </w:pPr>
      <w:r w:rsidRPr="00734C77">
        <w:rPr>
          <w:rFonts w:ascii="Arial" w:hAnsi="Arial" w:cs="Arial"/>
          <w:sz w:val="24"/>
          <w:szCs w:val="24"/>
        </w:rPr>
        <w:t xml:space="preserve">Require third-party providers to notify [entity defined personnel] of any personnel transfers or terminations of third-party personnel who possess credentials and/or badges, or who have information system privileges within [entity defined </w:t>
      </w:r>
      <w:proofErr w:type="gramStart"/>
      <w:r w:rsidRPr="00734C77">
        <w:rPr>
          <w:rFonts w:ascii="Arial" w:hAnsi="Arial" w:cs="Arial"/>
          <w:sz w:val="24"/>
          <w:szCs w:val="24"/>
        </w:rPr>
        <w:t>time period</w:t>
      </w:r>
      <w:proofErr w:type="gramEnd"/>
      <w:r w:rsidRPr="00734C77">
        <w:rPr>
          <w:rFonts w:ascii="Arial" w:hAnsi="Arial" w:cs="Arial"/>
          <w:sz w:val="24"/>
          <w:szCs w:val="24"/>
        </w:rPr>
        <w:t>].</w:t>
      </w:r>
    </w:p>
    <w:p w14:paraId="45F4FE25" w14:textId="40556333" w:rsidR="00F4345A" w:rsidRPr="00F4345A" w:rsidRDefault="00734C77" w:rsidP="00F4345A">
      <w:pPr>
        <w:numPr>
          <w:ilvl w:val="0"/>
          <w:numId w:val="39"/>
        </w:numPr>
        <w:spacing w:line="240" w:lineRule="auto"/>
        <w:ind w:left="810" w:right="446"/>
        <w:jc w:val="both"/>
        <w:rPr>
          <w:rFonts w:ascii="Arial" w:hAnsi="Arial" w:cs="Arial"/>
          <w:sz w:val="24"/>
          <w:szCs w:val="24"/>
        </w:rPr>
      </w:pPr>
      <w:r w:rsidRPr="00734C77">
        <w:rPr>
          <w:rFonts w:ascii="Arial" w:hAnsi="Arial" w:cs="Arial"/>
          <w:sz w:val="24"/>
          <w:szCs w:val="24"/>
        </w:rPr>
        <w:t>Monitor provider compliance.</w:t>
      </w:r>
    </w:p>
    <w:p w14:paraId="78559577" w14:textId="2B05AE57" w:rsidR="00F4345A" w:rsidRDefault="00F4345A" w:rsidP="00F4345A">
      <w:pPr>
        <w:spacing w:line="240" w:lineRule="auto"/>
        <w:ind w:left="450" w:right="446"/>
        <w:jc w:val="both"/>
        <w:rPr>
          <w:rFonts w:ascii="Arial" w:hAnsi="Arial" w:cs="Arial"/>
          <w:sz w:val="24"/>
          <w:szCs w:val="24"/>
        </w:rPr>
      </w:pPr>
      <w:r w:rsidRPr="00F4345A">
        <w:rPr>
          <w:rFonts w:ascii="Arial" w:hAnsi="Arial" w:cs="Arial"/>
          <w:sz w:val="24"/>
          <w:szCs w:val="24"/>
        </w:rPr>
        <w:t>Third-party providers include, for example, service bureaus, contractors, and other organizations providing information system development, information technology services, outsourced applications, and network and security management.</w:t>
      </w:r>
    </w:p>
    <w:p w14:paraId="0C23A564" w14:textId="2F2D8047" w:rsidR="00F4345A" w:rsidRPr="00F4345A" w:rsidRDefault="007A7EAE" w:rsidP="00F4345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Personnel Sanctions</w:t>
      </w:r>
    </w:p>
    <w:p w14:paraId="68687BE5" w14:textId="77777777" w:rsidR="00F4345A" w:rsidRPr="00734C77" w:rsidRDefault="00F4345A" w:rsidP="00F4345A">
      <w:pPr>
        <w:ind w:left="86" w:right="446" w:firstLine="360"/>
        <w:jc w:val="both"/>
        <w:rPr>
          <w:rFonts w:ascii="Arial" w:hAnsi="Arial" w:cs="Arial"/>
          <w:color w:val="C00000"/>
          <w:sz w:val="24"/>
          <w:szCs w:val="24"/>
        </w:rPr>
      </w:pPr>
      <w:r>
        <w:rPr>
          <w:rFonts w:ascii="Arial" w:hAnsi="Arial" w:cs="Arial"/>
          <w:sz w:val="24"/>
          <w:szCs w:val="24"/>
        </w:rPr>
        <w:t xml:space="preserve">IT Department </w:t>
      </w:r>
      <w:r w:rsidRPr="00734C77">
        <w:rPr>
          <w:rFonts w:ascii="Arial" w:hAnsi="Arial" w:cs="Arial"/>
          <w:sz w:val="24"/>
          <w:szCs w:val="24"/>
        </w:rPr>
        <w:t>shall:</w:t>
      </w:r>
    </w:p>
    <w:p w14:paraId="03AB9464" w14:textId="77777777" w:rsidR="00F4345A" w:rsidRPr="00F4345A" w:rsidRDefault="00F4345A" w:rsidP="00F4345A"/>
    <w:p w14:paraId="248677E6" w14:textId="501BDA74" w:rsidR="007A7EAE" w:rsidRPr="0010168A" w:rsidRDefault="00F4345A" w:rsidP="007A7EAE">
      <w:pPr>
        <w:numPr>
          <w:ilvl w:val="0"/>
          <w:numId w:val="40"/>
        </w:numPr>
        <w:spacing w:after="120" w:line="240" w:lineRule="auto"/>
        <w:ind w:right="446"/>
        <w:jc w:val="both"/>
        <w:rPr>
          <w:rFonts w:ascii="Arial" w:hAnsi="Arial" w:cs="Arial"/>
          <w:sz w:val="24"/>
          <w:szCs w:val="24"/>
        </w:rPr>
      </w:pPr>
      <w:r w:rsidRPr="00F4345A">
        <w:rPr>
          <w:rFonts w:ascii="Arial" w:hAnsi="Arial" w:cs="Arial"/>
          <w:sz w:val="24"/>
          <w:szCs w:val="24"/>
        </w:rPr>
        <w:lastRenderedPageBreak/>
        <w:t>Employ a formal sanction process for individuals failing to comply with established information security policies and procedures</w:t>
      </w:r>
    </w:p>
    <w:p w14:paraId="55B27B4F" w14:textId="10EF8707" w:rsidR="007A7EAE" w:rsidRPr="0010168A" w:rsidRDefault="00F4345A" w:rsidP="007A7EAE">
      <w:pPr>
        <w:numPr>
          <w:ilvl w:val="0"/>
          <w:numId w:val="40"/>
        </w:numPr>
        <w:spacing w:after="120" w:line="240" w:lineRule="auto"/>
        <w:ind w:right="446"/>
        <w:jc w:val="both"/>
        <w:rPr>
          <w:rFonts w:ascii="Arial" w:hAnsi="Arial" w:cs="Arial"/>
          <w:sz w:val="24"/>
          <w:szCs w:val="24"/>
        </w:rPr>
      </w:pPr>
      <w:r w:rsidRPr="00F4345A">
        <w:rPr>
          <w:rFonts w:ascii="Arial" w:hAnsi="Arial" w:cs="Arial"/>
          <w:sz w:val="24"/>
          <w:szCs w:val="24"/>
        </w:rPr>
        <w:t xml:space="preserve">Notify [entity defined personnel] within [entity defined </w:t>
      </w:r>
      <w:proofErr w:type="gramStart"/>
      <w:r w:rsidRPr="00F4345A">
        <w:rPr>
          <w:rFonts w:ascii="Arial" w:hAnsi="Arial" w:cs="Arial"/>
          <w:sz w:val="24"/>
          <w:szCs w:val="24"/>
        </w:rPr>
        <w:t>time period</w:t>
      </w:r>
      <w:proofErr w:type="gramEnd"/>
      <w:r w:rsidRPr="00F4345A">
        <w:rPr>
          <w:rFonts w:ascii="Arial" w:hAnsi="Arial" w:cs="Arial"/>
          <w:sz w:val="24"/>
          <w:szCs w:val="24"/>
        </w:rPr>
        <w:t xml:space="preserve">] when a formal employee sanctions process is initiated, identifying the individual </w:t>
      </w:r>
      <w:proofErr w:type="gramStart"/>
      <w:r w:rsidRPr="00F4345A">
        <w:rPr>
          <w:rFonts w:ascii="Arial" w:hAnsi="Arial" w:cs="Arial"/>
          <w:sz w:val="24"/>
          <w:szCs w:val="24"/>
        </w:rPr>
        <w:t>sanctioned</w:t>
      </w:r>
      <w:proofErr w:type="gramEnd"/>
      <w:r w:rsidRPr="00F4345A">
        <w:rPr>
          <w:rFonts w:ascii="Arial" w:hAnsi="Arial" w:cs="Arial"/>
          <w:sz w:val="24"/>
          <w:szCs w:val="24"/>
        </w:rPr>
        <w:t xml:space="preserve"> and the reason for the sanction.</w:t>
      </w:r>
    </w:p>
    <w:p w14:paraId="3B316DDA" w14:textId="395BC709" w:rsidR="007A7EAE" w:rsidRDefault="00F4345A" w:rsidP="007A7EAE">
      <w:pPr>
        <w:numPr>
          <w:ilvl w:val="0"/>
          <w:numId w:val="40"/>
        </w:numPr>
        <w:spacing w:line="240" w:lineRule="auto"/>
        <w:ind w:left="810" w:right="446"/>
        <w:jc w:val="both"/>
        <w:rPr>
          <w:rFonts w:ascii="Arial" w:hAnsi="Arial" w:cs="Arial"/>
          <w:sz w:val="24"/>
          <w:szCs w:val="24"/>
        </w:rPr>
      </w:pPr>
      <w:r w:rsidRPr="00F4345A">
        <w:rPr>
          <w:rFonts w:ascii="Arial" w:hAnsi="Arial" w:cs="Arial"/>
          <w:sz w:val="24"/>
          <w:szCs w:val="24"/>
        </w:rPr>
        <w:t>Sanction processes reflect applicable state and federal laws, directives, regulations, policies, standards, and guidance. Sanctions processes are described in access agreements and can be included as part of general personnel policies and procedures for those organizations.</w:t>
      </w:r>
    </w:p>
    <w:p w14:paraId="72A0719E" w14:textId="77777777" w:rsidR="00FD26A2" w:rsidRPr="00B81B99" w:rsidRDefault="00AF069C" w:rsidP="00B81B99">
      <w:pPr>
        <w:pStyle w:val="Heading1"/>
        <w:rPr>
          <w:color w:val="auto"/>
        </w:rPr>
      </w:pPr>
      <w:r w:rsidRPr="00B81B99">
        <w:rPr>
          <w:color w:val="auto"/>
        </w:rPr>
        <w:t>5.0 Compliance</w:t>
      </w:r>
    </w:p>
    <w:p w14:paraId="5A4A7E12" w14:textId="77777777" w:rsidR="007A7EAE" w:rsidRPr="00E30A2D" w:rsidRDefault="007A7EAE" w:rsidP="007A7EAE">
      <w:pPr>
        <w:rPr>
          <w:rFonts w:ascii="Arial" w:hAnsi="Arial" w:cs="Arial"/>
          <w:sz w:val="24"/>
          <w:szCs w:val="24"/>
        </w:rPr>
      </w:pPr>
      <w:r>
        <w:rPr>
          <w:rFonts w:ascii="Arial" w:hAnsi="Arial" w:cs="Arial"/>
          <w:sz w:val="24"/>
          <w:szCs w:val="24"/>
        </w:rPr>
        <w:t>E</w:t>
      </w:r>
      <w:r w:rsidRPr="00E30A2D">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608E20F3" w14:textId="77777777"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4CA7CA3D" w14:textId="77777777" w:rsidR="007A7EAE" w:rsidRDefault="0073036D" w:rsidP="007A7EAE">
      <w:pPr>
        <w:autoSpaceDE w:val="0"/>
        <w:autoSpaceDN w:val="0"/>
        <w:adjustRightInd w:val="0"/>
        <w:ind w:right="450"/>
        <w:jc w:val="both"/>
        <w:rPr>
          <w:rFonts w:ascii="Arial" w:hAnsi="Arial" w:cs="Arial"/>
          <w:sz w:val="24"/>
          <w:szCs w:val="24"/>
        </w:rPr>
      </w:pPr>
      <w:r w:rsidRPr="007A7EAE">
        <w:rPr>
          <w:rFonts w:ascii="Arial" w:hAnsi="Arial" w:cs="Arial"/>
          <w:sz w:val="24"/>
          <w:szCs w:val="24"/>
        </w:rPr>
        <w:t>NIST Special Publication 800-92, Guide to Computer Security Log Management</w:t>
      </w:r>
      <w:bookmarkStart w:id="2" w:name="AppendixA"/>
      <w:bookmarkEnd w:id="2"/>
    </w:p>
    <w:p w14:paraId="3D7320D7" w14:textId="75D377CC" w:rsidR="00892400" w:rsidRPr="00E30A2D" w:rsidRDefault="00892400" w:rsidP="007A7EAE">
      <w:pPr>
        <w:autoSpaceDE w:val="0"/>
        <w:autoSpaceDN w:val="0"/>
        <w:adjustRightInd w:val="0"/>
        <w:ind w:right="450"/>
        <w:jc w:val="both"/>
        <w:rPr>
          <w:rFonts w:ascii="Arial" w:eastAsia="Arial" w:hAnsi="Arial" w:cs="Arial"/>
          <w:sz w:val="24"/>
          <w:szCs w:val="24"/>
        </w:rPr>
      </w:pPr>
      <w:r w:rsidRPr="00E30A2D">
        <w:rPr>
          <w:rFonts w:ascii="Arial" w:hAnsi="Arial" w:cs="Arial"/>
          <w:sz w:val="24"/>
          <w:szCs w:val="24"/>
          <w:shd w:val="clear" w:color="auto" w:fill="FFFFFF"/>
        </w:rPr>
        <w:t xml:space="preserve">National Institute of Standards and Technology (NIST) Special Publications (SP): </w:t>
      </w:r>
      <w:r w:rsidRPr="00E30A2D">
        <w:rPr>
          <w:rFonts w:ascii="Arial" w:eastAsia="Arial" w:hAnsi="Arial" w:cs="Arial"/>
          <w:sz w:val="24"/>
          <w:szCs w:val="24"/>
        </w:rPr>
        <w:t>NIST SP 800-53a – Personnel Security (PS), NIST SP 800-12, NIST SP 800-60, NIST SP 800-73, NIST SP 800-78, NIST SP 800 -100;</w:t>
      </w:r>
      <w:r>
        <w:rPr>
          <w:rFonts w:ascii="Arial" w:eastAsia="Arial" w:hAnsi="Arial" w:cs="Arial"/>
          <w:sz w:val="24"/>
          <w:szCs w:val="24"/>
        </w:rPr>
        <w:t xml:space="preserve"> </w:t>
      </w:r>
      <w:r w:rsidRPr="00E30A2D">
        <w:rPr>
          <w:rFonts w:ascii="Arial" w:hAnsi="Arial" w:cs="Arial"/>
          <w:bCs/>
          <w:sz w:val="24"/>
          <w:szCs w:val="24"/>
          <w:shd w:val="clear" w:color="auto" w:fill="FFFFFF"/>
        </w:rPr>
        <w:t xml:space="preserve">Electronic Code of Federal Regulations </w:t>
      </w:r>
      <w:r w:rsidRPr="00E30A2D">
        <w:rPr>
          <w:rFonts w:ascii="Arial" w:hAnsi="Arial" w:cs="Arial"/>
          <w:bCs/>
          <w:sz w:val="24"/>
          <w:szCs w:val="24"/>
          <w:shd w:val="clear" w:color="auto" w:fill="FFFFFF"/>
        </w:rPr>
        <w:lastRenderedPageBreak/>
        <w:t xml:space="preserve">(CFR): 5 CFR </w:t>
      </w:r>
      <w:r w:rsidRPr="00E30A2D">
        <w:rPr>
          <w:rFonts w:ascii="Arial" w:eastAsia="Arial" w:hAnsi="Arial" w:cs="Arial"/>
          <w:sz w:val="24"/>
          <w:szCs w:val="24"/>
        </w:rPr>
        <w:t>731.106;</w:t>
      </w:r>
      <w:r>
        <w:rPr>
          <w:rFonts w:ascii="Arial" w:eastAsia="Arial" w:hAnsi="Arial" w:cs="Arial"/>
          <w:sz w:val="24"/>
          <w:szCs w:val="24"/>
        </w:rPr>
        <w:t xml:space="preserve"> </w:t>
      </w:r>
      <w:r w:rsidRPr="00E30A2D">
        <w:rPr>
          <w:rFonts w:ascii="Arial" w:hAnsi="Arial" w:cs="Arial"/>
          <w:sz w:val="24"/>
          <w:szCs w:val="24"/>
          <w:shd w:val="clear" w:color="auto" w:fill="FFFFFF"/>
        </w:rPr>
        <w:t>Federal Information Processing Standards (</w:t>
      </w:r>
      <w:r w:rsidRPr="00E30A2D">
        <w:rPr>
          <w:rFonts w:ascii="Arial" w:hAnsi="Arial" w:cs="Arial"/>
          <w:sz w:val="24"/>
          <w:szCs w:val="24"/>
        </w:rPr>
        <w:t>FIPS)</w:t>
      </w:r>
      <w:r w:rsidRPr="00E30A2D">
        <w:rPr>
          <w:rFonts w:ascii="Arial" w:eastAsia="Arial" w:hAnsi="Arial" w:cs="Arial"/>
          <w:sz w:val="24"/>
          <w:szCs w:val="24"/>
        </w:rPr>
        <w:t xml:space="preserve"> 199 and 201;</w:t>
      </w:r>
      <w:r>
        <w:rPr>
          <w:rFonts w:ascii="Arial" w:eastAsia="Arial" w:hAnsi="Arial" w:cs="Arial"/>
          <w:sz w:val="24"/>
          <w:szCs w:val="24"/>
        </w:rPr>
        <w:t xml:space="preserve"> </w:t>
      </w:r>
      <w:r w:rsidRPr="00E30A2D">
        <w:rPr>
          <w:rFonts w:ascii="Arial" w:hAnsi="Arial" w:cs="Arial"/>
          <w:sz w:val="24"/>
          <w:szCs w:val="24"/>
        </w:rPr>
        <w:t xml:space="preserve">Intelligence Community Directive (ICD) </w:t>
      </w:r>
      <w:r w:rsidRPr="00E30A2D">
        <w:rPr>
          <w:rFonts w:ascii="Arial" w:eastAsia="Arial" w:hAnsi="Arial" w:cs="Arial"/>
          <w:sz w:val="24"/>
          <w:szCs w:val="24"/>
        </w:rPr>
        <w:t>704 Personnel Security Standards</w:t>
      </w:r>
    </w:p>
    <w:p w14:paraId="7D979AE8" w14:textId="22B62B52" w:rsidR="007A7EAE" w:rsidRDefault="007A7EAE" w:rsidP="007A7EAE">
      <w:pPr>
        <w:pStyle w:val="Heading1"/>
        <w:rPr>
          <w:color w:val="auto"/>
        </w:rPr>
      </w:pPr>
      <w:r>
        <w:rPr>
          <w:color w:val="auto"/>
        </w:rPr>
        <w:t>10</w:t>
      </w:r>
      <w:r w:rsidRPr="00B81B99">
        <w:rPr>
          <w:color w:val="auto"/>
        </w:rPr>
        <w:t xml:space="preserve">.0 </w:t>
      </w:r>
      <w:r>
        <w:rPr>
          <w:color w:val="auto"/>
        </w:rPr>
        <w:t>Policy Exceptions</w:t>
      </w:r>
    </w:p>
    <w:p w14:paraId="75CA9E5F" w14:textId="0D961524" w:rsidR="007A7EAE" w:rsidRPr="007A7EAE" w:rsidRDefault="007A7EAE" w:rsidP="007A7EAE">
      <w:pPr>
        <w:rPr>
          <w:rFonts w:ascii="Arial" w:hAnsi="Arial" w:cs="Arial"/>
          <w:sz w:val="24"/>
          <w:szCs w:val="24"/>
        </w:rPr>
      </w:pPr>
      <w:r w:rsidRPr="00E30A2D">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Pr>
          <w:rFonts w:ascii="Arial" w:hAnsi="Arial" w:cs="Arial"/>
          <w:sz w:val="24"/>
          <w:szCs w:val="24"/>
        </w:rPr>
        <w:t>IT D</w:t>
      </w:r>
      <w:r w:rsidRPr="00E30A2D">
        <w:rPr>
          <w:rFonts w:ascii="Arial" w:hAnsi="Arial" w:cs="Arial"/>
          <w:sz w:val="24"/>
          <w:szCs w:val="24"/>
        </w:rPr>
        <w:t xml:space="preserve">epartment, initiatives, actions and a </w:t>
      </w:r>
      <w:proofErr w:type="gramStart"/>
      <w:r w:rsidRPr="00E30A2D">
        <w:rPr>
          <w:rFonts w:ascii="Arial" w:hAnsi="Arial" w:cs="Arial"/>
          <w:sz w:val="24"/>
          <w:szCs w:val="24"/>
        </w:rPr>
        <w:t>time-frame</w:t>
      </w:r>
      <w:proofErr w:type="gramEnd"/>
      <w:r w:rsidRPr="00E30A2D">
        <w:rPr>
          <w:rFonts w:ascii="Arial" w:hAnsi="Arial" w:cs="Arial"/>
          <w:sz w:val="24"/>
          <w:szCs w:val="24"/>
        </w:rPr>
        <w:t xml:space="preserve"> for achieving the minimum compliance level with the policies set forth herein. The CIO shall review such requests; confer with the requesting </w:t>
      </w:r>
      <w:r>
        <w:rPr>
          <w:rFonts w:ascii="Arial" w:hAnsi="Arial" w:cs="Arial"/>
          <w:sz w:val="24"/>
          <w:szCs w:val="24"/>
        </w:rPr>
        <w:t>d</w:t>
      </w:r>
      <w:r w:rsidRPr="00E30A2D">
        <w:rPr>
          <w:rFonts w:ascii="Arial" w:hAnsi="Arial" w:cs="Arial"/>
          <w:sz w:val="24"/>
          <w:szCs w:val="24"/>
        </w:rPr>
        <w:t>epartment.</w:t>
      </w:r>
    </w:p>
    <w:p w14:paraId="72825194" w14:textId="2FF864D4" w:rsidR="0073036D" w:rsidRPr="001C04B4" w:rsidRDefault="0073036D" w:rsidP="00892400">
      <w:pPr>
        <w:autoSpaceDE w:val="0"/>
        <w:autoSpaceDN w:val="0"/>
        <w:adjustRightInd w:val="0"/>
        <w:jc w:val="both"/>
        <w:rPr>
          <w:rFonts w:ascii="Arial" w:hAnsi="Arial" w:cs="Arial"/>
          <w:sz w:val="24"/>
          <w:szCs w:val="24"/>
        </w:rPr>
      </w:pPr>
    </w:p>
    <w:sectPr w:rsidR="0073036D" w:rsidRPr="001C04B4" w:rsidSect="00517A11">
      <w:footerReference w:type="first" r:id="rId11"/>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0904D" w14:textId="77777777" w:rsidR="00263921" w:rsidRDefault="00263921" w:rsidP="00D212FD">
      <w:pPr>
        <w:spacing w:after="0" w:line="240" w:lineRule="auto"/>
      </w:pPr>
      <w:r>
        <w:separator/>
      </w:r>
    </w:p>
  </w:endnote>
  <w:endnote w:type="continuationSeparator" w:id="0">
    <w:p w14:paraId="0C658AF6" w14:textId="77777777" w:rsidR="00263921" w:rsidRDefault="00263921" w:rsidP="00D212FD">
      <w:pPr>
        <w:spacing w:after="0" w:line="240" w:lineRule="auto"/>
      </w:pPr>
      <w:r>
        <w:continuationSeparator/>
      </w:r>
    </w:p>
  </w:endnote>
  <w:endnote w:type="continuationNotice" w:id="1">
    <w:p w14:paraId="0376F41F" w14:textId="77777777" w:rsidR="00263921" w:rsidRDefault="002639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69E2" w14:textId="54B6DE98" w:rsidR="007B5EB1" w:rsidRPr="00345351" w:rsidRDefault="007A7EAE">
    <w:pPr>
      <w:pStyle w:val="Footer"/>
      <w:rPr>
        <w:rFonts w:ascii="Arial" w:hAnsi="Arial" w:cs="Arial"/>
        <w:b/>
        <w:sz w:val="20"/>
        <w:szCs w:val="16"/>
      </w:rPr>
    </w:pPr>
    <w:r w:rsidRPr="007A7EAE">
      <w:rPr>
        <w:rFonts w:ascii="Arial" w:hAnsi="Arial" w:cs="Arial"/>
        <w:b/>
        <w:sz w:val="20"/>
        <w:szCs w:val="16"/>
      </w:rPr>
      <w:t>Personnel Security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B27D70">
      <w:rPr>
        <w:rFonts w:ascii="Arial" w:hAnsi="Arial" w:cs="Arial"/>
        <w:b/>
        <w:noProof/>
        <w:sz w:val="20"/>
        <w:szCs w:val="16"/>
      </w:rPr>
      <w:t>5</w:t>
    </w:r>
    <w:r w:rsidR="007B5EB1" w:rsidRPr="009D4DB0">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4AD71" w14:textId="77777777" w:rsidR="00263921" w:rsidRDefault="00263921" w:rsidP="00D212FD">
      <w:pPr>
        <w:spacing w:after="0" w:line="240" w:lineRule="auto"/>
      </w:pPr>
      <w:r>
        <w:separator/>
      </w:r>
    </w:p>
  </w:footnote>
  <w:footnote w:type="continuationSeparator" w:id="0">
    <w:p w14:paraId="42CBA511" w14:textId="77777777" w:rsidR="00263921" w:rsidRDefault="00263921" w:rsidP="00D212FD">
      <w:pPr>
        <w:spacing w:after="0" w:line="240" w:lineRule="auto"/>
      </w:pPr>
      <w:r>
        <w:continuationSeparator/>
      </w:r>
    </w:p>
  </w:footnote>
  <w:footnote w:type="continuationNotice" w:id="1">
    <w:p w14:paraId="1E960518" w14:textId="77777777" w:rsidR="00263921" w:rsidRDefault="002639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6.7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3465D"/>
    <w:multiLevelType w:val="hybridMultilevel"/>
    <w:tmpl w:val="53F2F138"/>
    <w:lvl w:ilvl="0" w:tplc="FFFFFFFF">
      <w:start w:val="1"/>
      <w:numFmt w:val="lowerLetter"/>
      <w:lvlText w:val="%1."/>
      <w:lvlJc w:val="left"/>
      <w:pPr>
        <w:ind w:left="1440" w:hanging="360"/>
      </w:pPr>
    </w:lvl>
    <w:lvl w:ilvl="1" w:tplc="04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49306789"/>
    <w:multiLevelType w:val="hybridMultilevel"/>
    <w:tmpl w:val="D1B81516"/>
    <w:lvl w:ilvl="0" w:tplc="04090013">
      <w:start w:val="1"/>
      <w:numFmt w:val="upperRoman"/>
      <w:lvlText w:val="%1."/>
      <w:lvlJc w:val="right"/>
      <w:pPr>
        <w:ind w:left="1440" w:hanging="360"/>
      </w:pPr>
    </w:lvl>
    <w:lvl w:ilvl="1" w:tplc="FFFFFFFF">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2D2DAD"/>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8113819">
    <w:abstractNumId w:val="6"/>
  </w:num>
  <w:num w:numId="2" w16cid:durableId="1815827205">
    <w:abstractNumId w:val="7"/>
  </w:num>
  <w:num w:numId="3" w16cid:durableId="52434624">
    <w:abstractNumId w:val="8"/>
  </w:num>
  <w:num w:numId="4" w16cid:durableId="674069718">
    <w:abstractNumId w:val="39"/>
  </w:num>
  <w:num w:numId="5" w16cid:durableId="594442354">
    <w:abstractNumId w:val="9"/>
  </w:num>
  <w:num w:numId="6" w16cid:durableId="1375344857">
    <w:abstractNumId w:val="16"/>
  </w:num>
  <w:num w:numId="7" w16cid:durableId="1360660980">
    <w:abstractNumId w:val="22"/>
  </w:num>
  <w:num w:numId="8" w16cid:durableId="1339235704">
    <w:abstractNumId w:val="31"/>
  </w:num>
  <w:num w:numId="9" w16cid:durableId="1286156267">
    <w:abstractNumId w:val="24"/>
  </w:num>
  <w:num w:numId="10" w16cid:durableId="1235966983">
    <w:abstractNumId w:val="32"/>
  </w:num>
  <w:num w:numId="11" w16cid:durableId="670253330">
    <w:abstractNumId w:val="11"/>
  </w:num>
  <w:num w:numId="12" w16cid:durableId="847251460">
    <w:abstractNumId w:val="21"/>
  </w:num>
  <w:num w:numId="13" w16cid:durableId="173148899">
    <w:abstractNumId w:val="27"/>
  </w:num>
  <w:num w:numId="14" w16cid:durableId="761296554">
    <w:abstractNumId w:val="38"/>
  </w:num>
  <w:num w:numId="15" w16cid:durableId="1208183693">
    <w:abstractNumId w:val="25"/>
  </w:num>
  <w:num w:numId="16" w16cid:durableId="262498741">
    <w:abstractNumId w:val="37"/>
  </w:num>
  <w:num w:numId="17" w16cid:durableId="52896193">
    <w:abstractNumId w:val="14"/>
  </w:num>
  <w:num w:numId="18" w16cid:durableId="765150037">
    <w:abstractNumId w:val="3"/>
  </w:num>
  <w:num w:numId="19" w16cid:durableId="1615408434">
    <w:abstractNumId w:val="17"/>
  </w:num>
  <w:num w:numId="20" w16cid:durableId="1983803270">
    <w:abstractNumId w:val="4"/>
  </w:num>
  <w:num w:numId="21" w16cid:durableId="1296443868">
    <w:abstractNumId w:val="35"/>
  </w:num>
  <w:num w:numId="22" w16cid:durableId="1212763298">
    <w:abstractNumId w:val="0"/>
  </w:num>
  <w:num w:numId="23" w16cid:durableId="1369183329">
    <w:abstractNumId w:val="20"/>
  </w:num>
  <w:num w:numId="24" w16cid:durableId="1801075149">
    <w:abstractNumId w:val="13"/>
  </w:num>
  <w:num w:numId="25" w16cid:durableId="1803689128">
    <w:abstractNumId w:val="5"/>
  </w:num>
  <w:num w:numId="26" w16cid:durableId="1530099231">
    <w:abstractNumId w:val="25"/>
  </w:num>
  <w:num w:numId="27" w16cid:durableId="1250457275">
    <w:abstractNumId w:val="2"/>
  </w:num>
  <w:num w:numId="28" w16cid:durableId="390423793">
    <w:abstractNumId w:val="26"/>
  </w:num>
  <w:num w:numId="29" w16cid:durableId="370813198">
    <w:abstractNumId w:val="26"/>
  </w:num>
  <w:num w:numId="30" w16cid:durableId="1150554505">
    <w:abstractNumId w:val="1"/>
  </w:num>
  <w:num w:numId="31" w16cid:durableId="895122561">
    <w:abstractNumId w:val="34"/>
  </w:num>
  <w:num w:numId="32" w16cid:durableId="1654719398">
    <w:abstractNumId w:val="12"/>
  </w:num>
  <w:num w:numId="33" w16cid:durableId="895897494">
    <w:abstractNumId w:val="33"/>
  </w:num>
  <w:num w:numId="34" w16cid:durableId="459228676">
    <w:abstractNumId w:val="36"/>
  </w:num>
  <w:num w:numId="35" w16cid:durableId="29427955">
    <w:abstractNumId w:val="19"/>
  </w:num>
  <w:num w:numId="36" w16cid:durableId="1500001408">
    <w:abstractNumId w:val="29"/>
  </w:num>
  <w:num w:numId="37" w16cid:durableId="1265767870">
    <w:abstractNumId w:val="28"/>
  </w:num>
  <w:num w:numId="38" w16cid:durableId="1269701692">
    <w:abstractNumId w:val="15"/>
  </w:num>
  <w:num w:numId="39" w16cid:durableId="1905918811">
    <w:abstractNumId w:val="18"/>
  </w:num>
  <w:num w:numId="40" w16cid:durableId="297229791">
    <w:abstractNumId w:val="30"/>
  </w:num>
  <w:num w:numId="41" w16cid:durableId="661815262">
    <w:abstractNumId w:val="10"/>
  </w:num>
  <w:num w:numId="42" w16cid:durableId="10765901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3921"/>
    <w:rsid w:val="002657E4"/>
    <w:rsid w:val="0026673E"/>
    <w:rsid w:val="002761BB"/>
    <w:rsid w:val="002867B4"/>
    <w:rsid w:val="002956C6"/>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45351"/>
    <w:rsid w:val="00350920"/>
    <w:rsid w:val="0035310E"/>
    <w:rsid w:val="003562C4"/>
    <w:rsid w:val="00360086"/>
    <w:rsid w:val="0036045F"/>
    <w:rsid w:val="003651AC"/>
    <w:rsid w:val="00365F3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37809"/>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30D"/>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4C77"/>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7EAE"/>
    <w:rsid w:val="007B261E"/>
    <w:rsid w:val="007B368A"/>
    <w:rsid w:val="007B3928"/>
    <w:rsid w:val="007B45AC"/>
    <w:rsid w:val="007B5EB1"/>
    <w:rsid w:val="007B7F24"/>
    <w:rsid w:val="007C694B"/>
    <w:rsid w:val="007C75B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2400"/>
    <w:rsid w:val="00896333"/>
    <w:rsid w:val="008B070D"/>
    <w:rsid w:val="008B1DFB"/>
    <w:rsid w:val="008B788C"/>
    <w:rsid w:val="008C0F7E"/>
    <w:rsid w:val="008C1421"/>
    <w:rsid w:val="008C42D9"/>
    <w:rsid w:val="008C69E4"/>
    <w:rsid w:val="008D4AC6"/>
    <w:rsid w:val="008E3C71"/>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27D70"/>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0CEA"/>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4345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62D56471-8C43-474D-AB01-D42CCCD1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5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17</TotalTime>
  <Pages>5</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4</cp:revision>
  <dcterms:created xsi:type="dcterms:W3CDTF">2019-11-04T16:21:00Z</dcterms:created>
  <dcterms:modified xsi:type="dcterms:W3CDTF">2024-10-09T18:49:00Z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