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1F28599B"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FE1C5C">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7D9491DB" w:rsidR="00CC3316" w:rsidRPr="00A75C2A" w:rsidRDefault="003E48FD" w:rsidP="00752E82">
            <w:pPr>
              <w:spacing w:after="0" w:line="240" w:lineRule="auto"/>
              <w:jc w:val="center"/>
              <w:rPr>
                <w:rFonts w:ascii="Arial" w:hAnsi="Arial" w:cs="Arial"/>
                <w:b/>
                <w:sz w:val="40"/>
                <w:szCs w:val="40"/>
              </w:rPr>
            </w:pPr>
            <w:r>
              <w:rPr>
                <w:rFonts w:ascii="Arial" w:hAnsi="Arial" w:cs="Arial"/>
                <w:b/>
                <w:sz w:val="40"/>
                <w:szCs w:val="40"/>
              </w:rPr>
              <w:t>Vulnerability Scanning</w:t>
            </w:r>
            <w:r w:rsidR="00FE1C5C">
              <w:rPr>
                <w:rFonts w:ascii="Arial" w:hAnsi="Arial" w:cs="Arial"/>
                <w:b/>
                <w:sz w:val="40"/>
                <w:szCs w:val="40"/>
              </w:rPr>
              <w:t xml:space="preserve"> Standard</w:t>
            </w:r>
          </w:p>
        </w:tc>
        <w:tc>
          <w:tcPr>
            <w:tcW w:w="4837" w:type="dxa"/>
            <w:vAlign w:val="center"/>
          </w:tcPr>
          <w:p w14:paraId="3D389F70" w14:textId="2559F65F"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767AEE">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48AB5284" w14:textId="77777777" w:rsidR="003E48FD" w:rsidRDefault="003E48FD" w:rsidP="003E48FD">
      <w:pPr>
        <w:pStyle w:val="ParagraphSections"/>
      </w:pPr>
      <w:r>
        <w:t xml:space="preserve">Entities utilize automated tools to scan systems, computing and network devices, web applications and application code. The results of these scans help inform management and system administrators of known and potential vulnerabilities. </w:t>
      </w:r>
    </w:p>
    <w:p w14:paraId="09E39E36" w14:textId="6F895DC7" w:rsidR="003E48FD" w:rsidRDefault="003E48FD" w:rsidP="003E48FD">
      <w:pPr>
        <w:pStyle w:val="ParagraphSections"/>
      </w:pPr>
      <w:r>
        <w:t>Vulnerability management is a process by which the vulnerabilities identified through scanning are tracked, evaluated, prioritized and managed until the vulnerabilities are remediated or otherwise appropriately resolved. Managing the vulnerabilities identified during scans ensures that appropriate actions are taken to reduce the potential that these vulnerabilities are exploited and thereby reduce risk of compromise to the confidentiality, integrity and availability of information assets.</w:t>
      </w:r>
    </w:p>
    <w:p w14:paraId="07A3C879" w14:textId="5C27483E"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lastRenderedPageBreak/>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0680E8F6" w14:textId="13432B14" w:rsidR="00752E82" w:rsidRDefault="00752E82" w:rsidP="00A92A22">
      <w:pPr>
        <w:pStyle w:val="Heading1"/>
        <w:rPr>
          <w:color w:val="auto"/>
        </w:rPr>
      </w:pPr>
      <w:bookmarkStart w:id="3" w:name="_Hlk180849249"/>
      <w:r>
        <w:rPr>
          <w:color w:val="auto"/>
        </w:rPr>
        <w:t>4</w:t>
      </w:r>
      <w:r w:rsidRPr="001F6975">
        <w:rPr>
          <w:color w:val="auto"/>
        </w:rPr>
        <w:t xml:space="preserve">.0 </w:t>
      </w:r>
      <w:r>
        <w:rPr>
          <w:color w:val="auto"/>
        </w:rPr>
        <w:t>Information Statement</w:t>
      </w:r>
      <w:bookmarkEnd w:id="3"/>
    </w:p>
    <w:p w14:paraId="137B3DEC" w14:textId="0AE15446" w:rsidR="001F63E3" w:rsidRDefault="003E48FD" w:rsidP="003E48FD">
      <w:pPr>
        <w:pStyle w:val="ParagraphSections"/>
      </w:pPr>
      <w:r w:rsidRPr="003E48FD">
        <w:t>As per the Information Security Policy, all systems must be scanned for vulnerabilities.  In addition, each system must be inventoried and have an individual or group assigned responsibility for maintenance and administration.</w:t>
      </w:r>
    </w:p>
    <w:p w14:paraId="10EE98D7" w14:textId="77777777" w:rsidR="003E48FD" w:rsidRPr="003E48FD" w:rsidRDefault="003E48FD" w:rsidP="003E48FD">
      <w:pPr>
        <w:pStyle w:val="InfoSections"/>
      </w:pPr>
      <w:r w:rsidRPr="003E48FD">
        <w:t>Types of Scans</w:t>
      </w:r>
    </w:p>
    <w:p w14:paraId="237E317D" w14:textId="6A2276C0" w:rsidR="003E48FD" w:rsidRDefault="003E48FD" w:rsidP="003E48FD">
      <w:pPr>
        <w:pStyle w:val="ParagraphSections"/>
      </w:pPr>
      <w:r w:rsidRPr="003E48FD">
        <w:t>The type of vulnerability scans appropriate for a given target depends on the target type (i.e., hardware, software, source code) and the target’s location (i.e., internal or external to the network). The table below lists the types of vulnerability scans required by this standard.</w:t>
      </w:r>
    </w:p>
    <w:p w14:paraId="13EA4410" w14:textId="77777777" w:rsidR="003E48FD" w:rsidRPr="00E3509D" w:rsidRDefault="003E48FD" w:rsidP="003E48FD">
      <w:pPr>
        <w:pStyle w:val="ListParagraph"/>
        <w:numPr>
          <w:ilvl w:val="0"/>
          <w:numId w:val="105"/>
        </w:numPr>
        <w:spacing w:after="0" w:line="240" w:lineRule="auto"/>
        <w:ind w:right="450"/>
        <w:rPr>
          <w:rFonts w:ascii="Arial" w:hAnsi="Arial" w:cs="Arial"/>
          <w:color w:val="FFFFFF"/>
          <w:sz w:val="20"/>
          <w:szCs w:val="24"/>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5"/>
        <w:gridCol w:w="4700"/>
      </w:tblGrid>
      <w:tr w:rsidR="003E48FD" w:rsidRPr="005305FB" w14:paraId="7F445DF9" w14:textId="77777777" w:rsidTr="00070EA9">
        <w:tc>
          <w:tcPr>
            <w:tcW w:w="4585" w:type="dxa"/>
            <w:tcBorders>
              <w:top w:val="single" w:sz="4" w:space="0" w:color="auto"/>
              <w:left w:val="single" w:sz="4" w:space="0" w:color="auto"/>
              <w:bottom w:val="single" w:sz="4" w:space="0" w:color="auto"/>
              <w:right w:val="single" w:sz="4" w:space="0" w:color="auto"/>
            </w:tcBorders>
            <w:shd w:val="clear" w:color="auto" w:fill="9CC2E5"/>
            <w:hideMark/>
          </w:tcPr>
          <w:p w14:paraId="1D41CD4A" w14:textId="77777777" w:rsidR="003E48FD" w:rsidRPr="005305FB" w:rsidRDefault="003E48FD" w:rsidP="00070EA9">
            <w:pPr>
              <w:spacing w:after="0" w:line="240" w:lineRule="auto"/>
              <w:ind w:right="450"/>
              <w:jc w:val="both"/>
              <w:rPr>
                <w:rFonts w:ascii="Arial" w:hAnsi="Arial" w:cs="Arial"/>
                <w:b/>
                <w:bCs/>
                <w:sz w:val="24"/>
                <w:szCs w:val="24"/>
              </w:rPr>
            </w:pPr>
            <w:r w:rsidRPr="005305FB">
              <w:rPr>
                <w:rFonts w:ascii="Arial" w:hAnsi="Arial" w:cs="Arial"/>
                <w:b/>
                <w:bCs/>
                <w:sz w:val="24"/>
                <w:szCs w:val="24"/>
              </w:rPr>
              <w:t>Type</w:t>
            </w:r>
          </w:p>
        </w:tc>
        <w:tc>
          <w:tcPr>
            <w:tcW w:w="4700" w:type="dxa"/>
            <w:tcBorders>
              <w:top w:val="single" w:sz="4" w:space="0" w:color="auto"/>
              <w:left w:val="single" w:sz="4" w:space="0" w:color="auto"/>
              <w:bottom w:val="single" w:sz="4" w:space="0" w:color="auto"/>
              <w:right w:val="single" w:sz="4" w:space="0" w:color="auto"/>
            </w:tcBorders>
            <w:shd w:val="clear" w:color="auto" w:fill="9CC2E5"/>
            <w:hideMark/>
          </w:tcPr>
          <w:p w14:paraId="006D618F" w14:textId="77777777" w:rsidR="003E48FD" w:rsidRPr="005305FB" w:rsidRDefault="003E48FD" w:rsidP="00070EA9">
            <w:pPr>
              <w:spacing w:after="0" w:line="240" w:lineRule="auto"/>
              <w:ind w:right="450"/>
              <w:jc w:val="both"/>
              <w:rPr>
                <w:rFonts w:ascii="Arial" w:hAnsi="Arial" w:cs="Arial"/>
                <w:b/>
                <w:bCs/>
                <w:sz w:val="24"/>
                <w:szCs w:val="24"/>
              </w:rPr>
            </w:pPr>
            <w:r w:rsidRPr="005305FB">
              <w:rPr>
                <w:rFonts w:ascii="Arial" w:hAnsi="Arial" w:cs="Arial"/>
                <w:b/>
                <w:bCs/>
                <w:sz w:val="24"/>
                <w:szCs w:val="24"/>
              </w:rPr>
              <w:t>Description</w:t>
            </w:r>
          </w:p>
        </w:tc>
      </w:tr>
      <w:tr w:rsidR="003E48FD" w:rsidRPr="005305FB" w14:paraId="1A1006AD" w14:textId="77777777" w:rsidTr="00070EA9">
        <w:tc>
          <w:tcPr>
            <w:tcW w:w="4585" w:type="dxa"/>
            <w:tcBorders>
              <w:top w:val="single" w:sz="4" w:space="0" w:color="auto"/>
              <w:left w:val="single" w:sz="4" w:space="0" w:color="auto"/>
              <w:bottom w:val="single" w:sz="4" w:space="0" w:color="auto"/>
              <w:right w:val="single" w:sz="4" w:space="0" w:color="auto"/>
            </w:tcBorders>
            <w:hideMark/>
          </w:tcPr>
          <w:p w14:paraId="7CD60E0B" w14:textId="77777777" w:rsidR="003E48FD" w:rsidRPr="005305FB" w:rsidRDefault="003E48FD" w:rsidP="00070EA9">
            <w:pPr>
              <w:spacing w:after="0" w:line="240" w:lineRule="auto"/>
              <w:ind w:right="450"/>
              <w:rPr>
                <w:rFonts w:ascii="Arial" w:hAnsi="Arial" w:cs="Arial"/>
                <w:b/>
                <w:bCs/>
                <w:sz w:val="24"/>
                <w:szCs w:val="24"/>
              </w:rPr>
            </w:pPr>
            <w:r w:rsidRPr="005305FB">
              <w:rPr>
                <w:rFonts w:ascii="Arial" w:hAnsi="Arial" w:cs="Arial"/>
                <w:b/>
                <w:bCs/>
                <w:sz w:val="24"/>
                <w:szCs w:val="24"/>
              </w:rPr>
              <w:t>External Infrastructure Scan</w:t>
            </w:r>
          </w:p>
        </w:tc>
        <w:tc>
          <w:tcPr>
            <w:tcW w:w="4700" w:type="dxa"/>
            <w:tcBorders>
              <w:top w:val="single" w:sz="4" w:space="0" w:color="auto"/>
              <w:left w:val="single" w:sz="4" w:space="0" w:color="auto"/>
              <w:bottom w:val="single" w:sz="4" w:space="0" w:color="auto"/>
              <w:right w:val="single" w:sz="4" w:space="0" w:color="auto"/>
            </w:tcBorders>
            <w:hideMark/>
          </w:tcPr>
          <w:p w14:paraId="3AE5B9A7" w14:textId="77777777" w:rsidR="003E48FD" w:rsidRPr="005305FB" w:rsidRDefault="003E48FD" w:rsidP="00070EA9">
            <w:pPr>
              <w:spacing w:after="0" w:line="240" w:lineRule="auto"/>
              <w:ind w:right="92"/>
              <w:jc w:val="both"/>
              <w:rPr>
                <w:rFonts w:ascii="Arial" w:hAnsi="Arial" w:cs="Arial"/>
                <w:sz w:val="24"/>
                <w:szCs w:val="24"/>
              </w:rPr>
            </w:pPr>
            <w:r w:rsidRPr="005305FB">
              <w:rPr>
                <w:rFonts w:ascii="Arial" w:hAnsi="Arial" w:cs="Arial"/>
                <w:sz w:val="24"/>
                <w:szCs w:val="24"/>
              </w:rPr>
              <w:t>Scans of the perimeter of networks or any externally available hosted infrastructure to identify potential vulnerabilities in Internet accessible IT infrastructure.</w:t>
            </w:r>
          </w:p>
        </w:tc>
      </w:tr>
      <w:tr w:rsidR="003E48FD" w:rsidRPr="005305FB" w14:paraId="60F978B7" w14:textId="77777777" w:rsidTr="00070EA9">
        <w:tc>
          <w:tcPr>
            <w:tcW w:w="4585" w:type="dxa"/>
            <w:tcBorders>
              <w:top w:val="single" w:sz="4" w:space="0" w:color="auto"/>
              <w:left w:val="single" w:sz="4" w:space="0" w:color="auto"/>
              <w:bottom w:val="single" w:sz="4" w:space="0" w:color="auto"/>
              <w:right w:val="single" w:sz="4" w:space="0" w:color="auto"/>
            </w:tcBorders>
            <w:hideMark/>
          </w:tcPr>
          <w:p w14:paraId="73DCC781" w14:textId="77777777" w:rsidR="003E48FD" w:rsidRPr="005305FB" w:rsidRDefault="003E48FD" w:rsidP="00070EA9">
            <w:pPr>
              <w:spacing w:after="0" w:line="240" w:lineRule="auto"/>
              <w:ind w:right="450"/>
              <w:rPr>
                <w:rFonts w:ascii="Arial" w:hAnsi="Arial" w:cs="Arial"/>
                <w:b/>
                <w:bCs/>
                <w:sz w:val="24"/>
                <w:szCs w:val="24"/>
              </w:rPr>
            </w:pPr>
            <w:r w:rsidRPr="005305FB">
              <w:rPr>
                <w:rFonts w:ascii="Arial" w:hAnsi="Arial" w:cs="Arial"/>
                <w:b/>
                <w:bCs/>
                <w:sz w:val="24"/>
                <w:szCs w:val="24"/>
              </w:rPr>
              <w:t>Internal Infrastructure</w:t>
            </w:r>
          </w:p>
          <w:p w14:paraId="77DE8397" w14:textId="77777777" w:rsidR="003E48FD" w:rsidRPr="005305FB" w:rsidRDefault="003E48FD" w:rsidP="00070EA9">
            <w:pPr>
              <w:spacing w:after="0" w:line="240" w:lineRule="auto"/>
              <w:ind w:right="450"/>
              <w:rPr>
                <w:rFonts w:ascii="Arial" w:hAnsi="Arial" w:cs="Arial"/>
                <w:b/>
                <w:bCs/>
                <w:sz w:val="24"/>
                <w:szCs w:val="24"/>
              </w:rPr>
            </w:pPr>
            <w:r w:rsidRPr="005305FB">
              <w:rPr>
                <w:rFonts w:ascii="Arial" w:hAnsi="Arial" w:cs="Arial"/>
                <w:b/>
                <w:bCs/>
                <w:sz w:val="24"/>
                <w:szCs w:val="24"/>
              </w:rPr>
              <w:t>Scan</w:t>
            </w:r>
          </w:p>
        </w:tc>
        <w:tc>
          <w:tcPr>
            <w:tcW w:w="4700" w:type="dxa"/>
            <w:tcBorders>
              <w:top w:val="single" w:sz="4" w:space="0" w:color="auto"/>
              <w:left w:val="single" w:sz="4" w:space="0" w:color="auto"/>
              <w:bottom w:val="single" w:sz="4" w:space="0" w:color="auto"/>
              <w:right w:val="single" w:sz="4" w:space="0" w:color="auto"/>
            </w:tcBorders>
            <w:hideMark/>
          </w:tcPr>
          <w:p w14:paraId="2E6B2F11" w14:textId="77777777" w:rsidR="003E48FD" w:rsidRPr="005305FB" w:rsidRDefault="003E48FD" w:rsidP="00070EA9">
            <w:pPr>
              <w:spacing w:after="0" w:line="240" w:lineRule="auto"/>
              <w:ind w:right="92"/>
              <w:jc w:val="both"/>
              <w:rPr>
                <w:rFonts w:ascii="Arial" w:hAnsi="Arial" w:cs="Arial"/>
                <w:sz w:val="24"/>
                <w:szCs w:val="24"/>
              </w:rPr>
            </w:pPr>
            <w:r w:rsidRPr="005305FB">
              <w:rPr>
                <w:rFonts w:ascii="Arial" w:hAnsi="Arial" w:cs="Arial"/>
                <w:sz w:val="24"/>
                <w:szCs w:val="24"/>
              </w:rPr>
              <w:t>Scans of IT infrastructure on protected networks or any hosted infrastructure to identify potential vulnerabilities.</w:t>
            </w:r>
          </w:p>
        </w:tc>
      </w:tr>
      <w:tr w:rsidR="003E48FD" w:rsidRPr="005305FB" w14:paraId="02B277DF" w14:textId="77777777" w:rsidTr="00070EA9">
        <w:tc>
          <w:tcPr>
            <w:tcW w:w="4585" w:type="dxa"/>
            <w:tcBorders>
              <w:top w:val="single" w:sz="4" w:space="0" w:color="auto"/>
              <w:left w:val="single" w:sz="4" w:space="0" w:color="auto"/>
              <w:bottom w:val="single" w:sz="4" w:space="0" w:color="auto"/>
              <w:right w:val="single" w:sz="4" w:space="0" w:color="auto"/>
            </w:tcBorders>
            <w:hideMark/>
          </w:tcPr>
          <w:p w14:paraId="5D98E0A4" w14:textId="77777777" w:rsidR="003E48FD" w:rsidRPr="005305FB" w:rsidRDefault="003E48FD" w:rsidP="00070EA9">
            <w:pPr>
              <w:spacing w:after="0" w:line="240" w:lineRule="auto"/>
              <w:ind w:right="450"/>
              <w:rPr>
                <w:rFonts w:ascii="Arial" w:hAnsi="Arial" w:cs="Arial"/>
                <w:b/>
                <w:bCs/>
                <w:sz w:val="24"/>
                <w:szCs w:val="24"/>
              </w:rPr>
            </w:pPr>
            <w:r w:rsidRPr="005305FB">
              <w:rPr>
                <w:rFonts w:ascii="Arial" w:hAnsi="Arial" w:cs="Arial"/>
                <w:b/>
                <w:bCs/>
                <w:sz w:val="24"/>
                <w:szCs w:val="24"/>
              </w:rPr>
              <w:t>“Lite” Web Application Scan</w:t>
            </w:r>
          </w:p>
        </w:tc>
        <w:tc>
          <w:tcPr>
            <w:tcW w:w="4700" w:type="dxa"/>
            <w:tcBorders>
              <w:top w:val="single" w:sz="4" w:space="0" w:color="auto"/>
              <w:left w:val="single" w:sz="4" w:space="0" w:color="auto"/>
              <w:bottom w:val="single" w:sz="4" w:space="0" w:color="auto"/>
              <w:right w:val="single" w:sz="4" w:space="0" w:color="auto"/>
            </w:tcBorders>
            <w:hideMark/>
          </w:tcPr>
          <w:p w14:paraId="4CEEDD74" w14:textId="77777777" w:rsidR="003E48FD" w:rsidRPr="005305FB" w:rsidRDefault="003E48FD" w:rsidP="00070EA9">
            <w:pPr>
              <w:spacing w:after="0" w:line="240" w:lineRule="auto"/>
              <w:ind w:right="92"/>
              <w:jc w:val="both"/>
              <w:rPr>
                <w:rFonts w:ascii="Arial" w:hAnsi="Arial" w:cs="Arial"/>
                <w:sz w:val="24"/>
                <w:szCs w:val="24"/>
              </w:rPr>
            </w:pPr>
            <w:r w:rsidRPr="005305FB">
              <w:rPr>
                <w:rFonts w:ascii="Arial" w:hAnsi="Arial" w:cs="Arial"/>
                <w:sz w:val="24"/>
                <w:szCs w:val="24"/>
              </w:rPr>
              <w:t>Cursory unauthenticated scans of externally facing production web applications to identify security vulnerabilities.</w:t>
            </w:r>
          </w:p>
        </w:tc>
      </w:tr>
      <w:tr w:rsidR="003E48FD" w:rsidRPr="005305FB" w14:paraId="79443005" w14:textId="77777777" w:rsidTr="00070EA9">
        <w:tc>
          <w:tcPr>
            <w:tcW w:w="4585" w:type="dxa"/>
            <w:tcBorders>
              <w:top w:val="single" w:sz="4" w:space="0" w:color="auto"/>
              <w:left w:val="single" w:sz="4" w:space="0" w:color="auto"/>
              <w:bottom w:val="single" w:sz="4" w:space="0" w:color="auto"/>
              <w:right w:val="single" w:sz="4" w:space="0" w:color="auto"/>
            </w:tcBorders>
            <w:hideMark/>
          </w:tcPr>
          <w:p w14:paraId="13AD597E" w14:textId="77777777" w:rsidR="003E48FD" w:rsidRPr="005305FB" w:rsidRDefault="003E48FD" w:rsidP="00070EA9">
            <w:pPr>
              <w:spacing w:after="0" w:line="240" w:lineRule="auto"/>
              <w:ind w:right="450"/>
              <w:rPr>
                <w:rFonts w:ascii="Arial" w:hAnsi="Arial" w:cs="Arial"/>
                <w:b/>
                <w:bCs/>
                <w:sz w:val="24"/>
                <w:szCs w:val="24"/>
              </w:rPr>
            </w:pPr>
            <w:r w:rsidRPr="005305FB">
              <w:rPr>
                <w:rFonts w:ascii="Arial" w:hAnsi="Arial" w:cs="Arial"/>
                <w:b/>
                <w:bCs/>
                <w:sz w:val="24"/>
                <w:szCs w:val="24"/>
              </w:rPr>
              <w:t>In-depth Web Application Scan</w:t>
            </w:r>
          </w:p>
        </w:tc>
        <w:tc>
          <w:tcPr>
            <w:tcW w:w="4700" w:type="dxa"/>
            <w:tcBorders>
              <w:top w:val="single" w:sz="4" w:space="0" w:color="auto"/>
              <w:left w:val="single" w:sz="4" w:space="0" w:color="auto"/>
              <w:bottom w:val="single" w:sz="4" w:space="0" w:color="auto"/>
              <w:right w:val="single" w:sz="4" w:space="0" w:color="auto"/>
            </w:tcBorders>
            <w:hideMark/>
          </w:tcPr>
          <w:p w14:paraId="7C4EE215" w14:textId="77777777" w:rsidR="003E48FD" w:rsidRPr="005305FB" w:rsidRDefault="003E48FD" w:rsidP="00070EA9">
            <w:pPr>
              <w:spacing w:after="0" w:line="240" w:lineRule="auto"/>
              <w:ind w:right="92"/>
              <w:jc w:val="both"/>
              <w:rPr>
                <w:rFonts w:ascii="Arial" w:hAnsi="Arial" w:cs="Arial"/>
                <w:sz w:val="24"/>
                <w:szCs w:val="24"/>
              </w:rPr>
            </w:pPr>
            <w:r>
              <w:rPr>
                <w:rFonts w:ascii="Arial" w:hAnsi="Arial" w:cs="Arial"/>
                <w:sz w:val="24"/>
                <w:szCs w:val="24"/>
              </w:rPr>
              <w:t>When implemented, authenticated i</w:t>
            </w:r>
            <w:r w:rsidRPr="005305FB">
              <w:rPr>
                <w:rFonts w:ascii="Arial" w:hAnsi="Arial" w:cs="Arial"/>
                <w:sz w:val="24"/>
                <w:szCs w:val="24"/>
              </w:rPr>
              <w:t>n-depth scans of</w:t>
            </w:r>
            <w:r>
              <w:rPr>
                <w:rFonts w:ascii="Arial" w:hAnsi="Arial" w:cs="Arial"/>
                <w:sz w:val="24"/>
                <w:szCs w:val="24"/>
              </w:rPr>
              <w:t xml:space="preserve"> </w:t>
            </w:r>
            <w:r w:rsidRPr="005305FB">
              <w:rPr>
                <w:rFonts w:ascii="Arial" w:hAnsi="Arial" w:cs="Arial"/>
                <w:sz w:val="24"/>
                <w:szCs w:val="24"/>
              </w:rPr>
              <w:t>web applications to identify security vulnerabilities.</w:t>
            </w:r>
          </w:p>
        </w:tc>
      </w:tr>
      <w:tr w:rsidR="003E48FD" w:rsidRPr="005305FB" w14:paraId="670CA7D8" w14:textId="77777777" w:rsidTr="00070EA9">
        <w:tc>
          <w:tcPr>
            <w:tcW w:w="4585" w:type="dxa"/>
            <w:tcBorders>
              <w:top w:val="single" w:sz="4" w:space="0" w:color="auto"/>
              <w:left w:val="single" w:sz="4" w:space="0" w:color="auto"/>
              <w:bottom w:val="single" w:sz="4" w:space="0" w:color="auto"/>
              <w:right w:val="single" w:sz="4" w:space="0" w:color="auto"/>
            </w:tcBorders>
            <w:hideMark/>
          </w:tcPr>
          <w:p w14:paraId="47F31B57" w14:textId="77777777" w:rsidR="003E48FD" w:rsidRPr="005305FB" w:rsidRDefault="003E48FD" w:rsidP="00070EA9">
            <w:pPr>
              <w:spacing w:after="0" w:line="240" w:lineRule="auto"/>
              <w:ind w:right="450"/>
              <w:rPr>
                <w:rFonts w:ascii="Arial" w:hAnsi="Arial" w:cs="Arial"/>
                <w:b/>
                <w:bCs/>
                <w:sz w:val="24"/>
                <w:szCs w:val="24"/>
              </w:rPr>
            </w:pPr>
            <w:r w:rsidRPr="005305FB">
              <w:rPr>
                <w:rFonts w:ascii="Arial" w:hAnsi="Arial" w:cs="Arial"/>
                <w:b/>
                <w:bCs/>
                <w:sz w:val="24"/>
                <w:szCs w:val="24"/>
              </w:rPr>
              <w:t>Application Source Code Analysis</w:t>
            </w:r>
          </w:p>
        </w:tc>
        <w:tc>
          <w:tcPr>
            <w:tcW w:w="4700" w:type="dxa"/>
            <w:tcBorders>
              <w:top w:val="single" w:sz="4" w:space="0" w:color="auto"/>
              <w:left w:val="single" w:sz="4" w:space="0" w:color="auto"/>
              <w:bottom w:val="single" w:sz="4" w:space="0" w:color="auto"/>
              <w:right w:val="single" w:sz="4" w:space="0" w:color="auto"/>
            </w:tcBorders>
            <w:hideMark/>
          </w:tcPr>
          <w:p w14:paraId="546CA542" w14:textId="77777777" w:rsidR="003E48FD" w:rsidRPr="005305FB" w:rsidRDefault="003E48FD" w:rsidP="00070EA9">
            <w:pPr>
              <w:spacing w:after="0" w:line="240" w:lineRule="auto"/>
              <w:ind w:right="92"/>
              <w:jc w:val="both"/>
              <w:rPr>
                <w:rFonts w:ascii="Arial" w:hAnsi="Arial" w:cs="Arial"/>
                <w:sz w:val="24"/>
                <w:szCs w:val="24"/>
              </w:rPr>
            </w:pPr>
            <w:r w:rsidRPr="005305FB">
              <w:rPr>
                <w:rFonts w:ascii="Arial" w:hAnsi="Arial" w:cs="Arial"/>
                <w:sz w:val="24"/>
                <w:szCs w:val="24"/>
              </w:rPr>
              <w:t>Scans of application source code run during development to identify problems in the code that could cause potential vulnerabilities.</w:t>
            </w:r>
          </w:p>
        </w:tc>
      </w:tr>
    </w:tbl>
    <w:p w14:paraId="24A4E442" w14:textId="28DC075B" w:rsidR="003E48FD" w:rsidRDefault="003E48FD" w:rsidP="003E48FD">
      <w:pPr>
        <w:pStyle w:val="InfoSections"/>
      </w:pPr>
      <w:r>
        <w:lastRenderedPageBreak/>
        <w:t>Scanning</w:t>
      </w:r>
    </w:p>
    <w:p w14:paraId="00826999" w14:textId="77777777" w:rsidR="003E48FD" w:rsidRDefault="003E48FD" w:rsidP="003E48FD">
      <w:pPr>
        <w:pStyle w:val="ParagraphSections"/>
      </w:pPr>
      <w:r>
        <w:t xml:space="preserve">Entities are responsible for confirming that vulnerability scans are conducted.  Entities must use a scanning tool approved by the ISO/designated security representative.  Any approved scanning tool must be able to provide remediation suggestions and be able to associate a severity value </w:t>
      </w:r>
      <w:proofErr w:type="gramStart"/>
      <w:r>
        <w:t>to</w:t>
      </w:r>
      <w:proofErr w:type="gramEnd"/>
      <w:r>
        <w:t xml:space="preserve"> each vulnerability discovered based on the relative impact of the vulnerability to the affected system.  </w:t>
      </w:r>
    </w:p>
    <w:p w14:paraId="2619D246" w14:textId="77777777" w:rsidR="003E48FD" w:rsidRDefault="003E48FD" w:rsidP="003E48FD">
      <w:pPr>
        <w:pStyle w:val="ParagraphSections"/>
      </w:pPr>
      <w:r>
        <w:t>As per the Information Classification Standard, scan reports are classified with moderate confidentiality and moderate integrity and should be protected as such.</w:t>
      </w:r>
    </w:p>
    <w:p w14:paraId="47A48A0B" w14:textId="77777777" w:rsidR="003E48FD" w:rsidRDefault="003E48FD" w:rsidP="003E48FD">
      <w:pPr>
        <w:pStyle w:val="ParagraphSections"/>
      </w:pPr>
      <w:r>
        <w:t>Entities are required to provide all external IP addresses and Uniform Resource Locators (URLs) for all externally facing web applications to the ISO/designated security representatives.</w:t>
      </w:r>
    </w:p>
    <w:p w14:paraId="0E509956" w14:textId="77777777" w:rsidR="003E48FD" w:rsidRDefault="003E48FD" w:rsidP="003E48FD">
      <w:pPr>
        <w:pStyle w:val="ParagraphSections"/>
      </w:pPr>
      <w:r>
        <w:t xml:space="preserve">Network and system administrators must provide sufficient access to allow the vulnerability </w:t>
      </w:r>
      <w:proofErr w:type="gramStart"/>
      <w:r>
        <w:t>scan</w:t>
      </w:r>
      <w:proofErr w:type="gramEnd"/>
      <w:r>
        <w:t xml:space="preserve"> engine to scan all services provided by the system.  No devices connected to the network shall be specifically configured to block vulnerability scans from authorized scanning engines.</w:t>
      </w:r>
    </w:p>
    <w:p w14:paraId="24265D93" w14:textId="45171F0E" w:rsidR="003E48FD" w:rsidRDefault="003E48FD" w:rsidP="003E48FD">
      <w:pPr>
        <w:pStyle w:val="ParagraphSections"/>
      </w:pPr>
      <w:r>
        <w:t>Scans must be performed within the system development life cycle (see SSDLC Standard) while in pre-deployment environments, when deployed into the target implementation environment, and periodically thereafter as specified below:</w:t>
      </w:r>
    </w:p>
    <w:p w14:paraId="5F41D92A" w14:textId="21D7D4D4" w:rsidR="003E48FD" w:rsidRDefault="003E48FD" w:rsidP="003E48FD">
      <w:pPr>
        <w:pStyle w:val="Bullets"/>
        <w:numPr>
          <w:ilvl w:val="0"/>
          <w:numId w:val="107"/>
        </w:numPr>
      </w:pPr>
      <w:r w:rsidRPr="003E48FD">
        <w:t>Pre-deployment scans occur prior to the move of the system or web application to the target implementation environment:</w:t>
      </w:r>
    </w:p>
    <w:p w14:paraId="23894B88" w14:textId="77777777" w:rsidR="003E48FD" w:rsidRDefault="003E48FD" w:rsidP="003E48FD">
      <w:pPr>
        <w:pStyle w:val="Bullets"/>
        <w:numPr>
          <w:ilvl w:val="1"/>
          <w:numId w:val="107"/>
        </w:numPr>
      </w:pPr>
      <w:r>
        <w:t>All systems must undergo an authenticated internal infrastructure scan, where technically feasible or required, before being deployed to the target implementation environment.  Any infrastructure vulnerability discovered must be remediated or determined to be a false positive or insignificant risk, by the Information Security Officer (ISO)/designated security representative, prior to the system being deployed for intended use.</w:t>
      </w:r>
    </w:p>
    <w:p w14:paraId="65236F74" w14:textId="77777777" w:rsidR="003E48FD" w:rsidRDefault="003E48FD" w:rsidP="003E48FD">
      <w:pPr>
        <w:pStyle w:val="Bullets"/>
        <w:numPr>
          <w:ilvl w:val="1"/>
          <w:numId w:val="107"/>
        </w:numPr>
      </w:pPr>
      <w:r>
        <w:t xml:space="preserve">When source code is available, applications must undergo source code scanning before the updated code moves into the target implementation environment if there has been a change to application code.  </w:t>
      </w:r>
    </w:p>
    <w:p w14:paraId="1B77A72F" w14:textId="77777777" w:rsidR="003E48FD" w:rsidRDefault="003E48FD" w:rsidP="003E48FD">
      <w:pPr>
        <w:pStyle w:val="Bullets"/>
        <w:numPr>
          <w:ilvl w:val="1"/>
          <w:numId w:val="107"/>
        </w:numPr>
      </w:pPr>
      <w:r>
        <w:t xml:space="preserve">Scans must be authenticated when the application requires authentication before being deployed into the target implementation environment or into an environment that is externally accessible. When authentication is required to access the application, scans must be run with authenticated access at each access level (e.g., user, admin) supported by the application, except where limitations in the tool prevent authenticated scanning.  Any web application vulnerability discovered must be remediated or determined to be a false positive or insignificant risk by the ISO/designated security representative, prior to the system being placed into the target implementation environment.  </w:t>
      </w:r>
    </w:p>
    <w:p w14:paraId="401A3CF3" w14:textId="58557B15" w:rsidR="003E48FD" w:rsidRDefault="003E48FD" w:rsidP="003E48FD">
      <w:pPr>
        <w:pStyle w:val="Bullets"/>
        <w:numPr>
          <w:ilvl w:val="1"/>
          <w:numId w:val="107"/>
        </w:numPr>
      </w:pPr>
      <w:r>
        <w:lastRenderedPageBreak/>
        <w:t>Any system or application deployed to its target implementation environment with un-</w:t>
      </w:r>
      <w:proofErr w:type="gramStart"/>
      <w:r>
        <w:t>remediated</w:t>
      </w:r>
      <w:proofErr w:type="gramEnd"/>
      <w:r>
        <w:t xml:space="preserve"> vulnerabilities must have a formal remediation plan and the documented approval of the executive responsible for risk management or their designee.</w:t>
      </w:r>
    </w:p>
    <w:p w14:paraId="42AB7E62" w14:textId="550C93FE" w:rsidR="003E48FD" w:rsidRDefault="003E48FD" w:rsidP="003E48FD">
      <w:pPr>
        <w:pStyle w:val="Bullets"/>
        <w:numPr>
          <w:ilvl w:val="0"/>
          <w:numId w:val="107"/>
        </w:numPr>
      </w:pPr>
      <w:r w:rsidRPr="003E48FD">
        <w:t>Implementation scans occur the first time a system or web application is moved to its target implementation environment:</w:t>
      </w:r>
    </w:p>
    <w:p w14:paraId="6793F3D3" w14:textId="77777777" w:rsidR="003E48FD" w:rsidRDefault="003E48FD" w:rsidP="003E48FD">
      <w:pPr>
        <w:pStyle w:val="Bullets"/>
        <w:numPr>
          <w:ilvl w:val="1"/>
          <w:numId w:val="107"/>
        </w:numPr>
      </w:pPr>
      <w:r>
        <w:t xml:space="preserve">Systems must be scanned immediately upon being placed into the target implementation environment with an authenticated internal infrastructure scan, where technically feasible or required. If the system is accessible from the internet or an external network, then the system must be scanned with an external infrastructure scan. </w:t>
      </w:r>
    </w:p>
    <w:p w14:paraId="2EDB6E45" w14:textId="31FDD1DA" w:rsidR="003E48FD" w:rsidRDefault="003E48FD" w:rsidP="003E48FD">
      <w:pPr>
        <w:pStyle w:val="Bullets"/>
        <w:numPr>
          <w:ilvl w:val="1"/>
          <w:numId w:val="107"/>
        </w:numPr>
      </w:pPr>
      <w:r>
        <w:t>Web applications must be scanned within the first month of being placed into the target implementation environment. An authenticated in-depth web application scan is required if feasible, but at minimum a “lite” web application scan is required. Sensitivity and criticality of the application must be considered when determining the schedule for the initial implementation scan.</w:t>
      </w:r>
    </w:p>
    <w:p w14:paraId="3003B7D5" w14:textId="6F993E71" w:rsidR="003E48FD" w:rsidRDefault="003E48FD" w:rsidP="003E48FD">
      <w:pPr>
        <w:pStyle w:val="Bullets"/>
        <w:numPr>
          <w:ilvl w:val="0"/>
          <w:numId w:val="107"/>
        </w:numPr>
      </w:pPr>
      <w:r w:rsidRPr="003E48FD">
        <w:t xml:space="preserve">Recurring Scans: After the initial scan in the target implementation environment, the frequency of scans </w:t>
      </w:r>
      <w:proofErr w:type="gramStart"/>
      <w:r w:rsidRPr="003E48FD">
        <w:t>are</w:t>
      </w:r>
      <w:proofErr w:type="gramEnd"/>
      <w:r w:rsidRPr="003E48FD">
        <w:t xml:space="preserve"> to occur according to the system or application’s risk rating (see Table 2).</w:t>
      </w:r>
    </w:p>
    <w:p w14:paraId="2A0755F2" w14:textId="77777777" w:rsidR="003E48FD" w:rsidRDefault="003E48FD" w:rsidP="003E48FD">
      <w:pPr>
        <w:pStyle w:val="Bullets"/>
        <w:numPr>
          <w:ilvl w:val="1"/>
          <w:numId w:val="107"/>
        </w:numPr>
      </w:pPr>
      <w:r>
        <w:t xml:space="preserve">When performing internal infrastructure scans on systems built using a shared image, such as workstations, scans may be run on a sampling of </w:t>
      </w:r>
      <w:proofErr w:type="gramStart"/>
      <w:r>
        <w:t>systems</w:t>
      </w:r>
      <w:proofErr w:type="gramEnd"/>
      <w:r>
        <w:t xml:space="preserve"> but the sample set must vary from scan to scan. </w:t>
      </w:r>
    </w:p>
    <w:p w14:paraId="7678F77B" w14:textId="77777777" w:rsidR="003E48FD" w:rsidRDefault="003E48FD" w:rsidP="003E48FD">
      <w:pPr>
        <w:pStyle w:val="Bullets"/>
        <w:numPr>
          <w:ilvl w:val="1"/>
          <w:numId w:val="107"/>
        </w:numPr>
      </w:pPr>
      <w:r>
        <w:t xml:space="preserve">Web applications in production are required to undergo recurring scans. At minimum, web applications in production are required to undergo recurring “lite” application scans. </w:t>
      </w:r>
    </w:p>
    <w:p w14:paraId="16D2D33A" w14:textId="19BB3055" w:rsidR="003E48FD" w:rsidRDefault="003E48FD" w:rsidP="003E48FD">
      <w:pPr>
        <w:pStyle w:val="Bullets"/>
        <w:numPr>
          <w:ilvl w:val="1"/>
          <w:numId w:val="107"/>
        </w:numPr>
      </w:pPr>
      <w:r>
        <w:t>All vulnerabilities found during scans must be addressed as per the remediation section below.</w:t>
      </w:r>
    </w:p>
    <w:p w14:paraId="7D9124EA" w14:textId="77777777" w:rsidR="003E48FD" w:rsidRPr="003E48FD" w:rsidRDefault="003E48FD" w:rsidP="003E48FD">
      <w:pPr>
        <w:pStyle w:val="InfoSections"/>
      </w:pPr>
      <w:r w:rsidRPr="003E48FD">
        <w:t>Determine Risk Rating and Frequency of Scans</w:t>
      </w:r>
    </w:p>
    <w:p w14:paraId="5FD31049" w14:textId="77777777" w:rsidR="003E48FD" w:rsidRDefault="003E48FD" w:rsidP="003E48FD">
      <w:pPr>
        <w:pStyle w:val="ParagraphSections"/>
      </w:pPr>
      <w:r>
        <w:t xml:space="preserve">The risk that vulnerabilities pose to systems and applications is based on the likelihood of </w:t>
      </w:r>
      <w:proofErr w:type="gramStart"/>
      <w:r>
        <w:t>a vulnerability</w:t>
      </w:r>
      <w:proofErr w:type="gramEnd"/>
      <w:r>
        <w:t xml:space="preserve"> being exploited and the impact if the confidentiality, integrity or availability of the information assets were compromised. The likelihood of a vulnerability being exploited is increased in direct relation to the </w:t>
      </w:r>
      <w:proofErr w:type="gramStart"/>
      <w:r>
        <w:t>system’s</w:t>
      </w:r>
      <w:proofErr w:type="gramEnd"/>
      <w:r>
        <w:t xml:space="preserve"> or application’s accessibility from other systems.</w:t>
      </w:r>
    </w:p>
    <w:p w14:paraId="19042B15" w14:textId="3F24B0EA" w:rsidR="003E48FD" w:rsidRDefault="003E48FD" w:rsidP="003E48FD">
      <w:pPr>
        <w:pStyle w:val="ParagraphSections"/>
      </w:pPr>
      <w:r>
        <w:t xml:space="preserve">The impact to the information assets is based on the asset’s information classification (see Information Classification Standard).  Impact (i.e., high, moderate or low) if </w:t>
      </w:r>
      <w:proofErr w:type="gramStart"/>
      <w:r>
        <w:t>the confidentiality</w:t>
      </w:r>
      <w:proofErr w:type="gramEnd"/>
      <w:r>
        <w:t>, integrity or availability is compromised must be considered and the highest individual impact rating for confidentiality, integrity or availability utilized within the table below.</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2340"/>
        <w:gridCol w:w="2790"/>
        <w:gridCol w:w="2070"/>
      </w:tblGrid>
      <w:tr w:rsidR="003E48FD" w:rsidRPr="00E3509D" w14:paraId="1423E1D8" w14:textId="77777777" w:rsidTr="003E48FD">
        <w:tc>
          <w:tcPr>
            <w:tcW w:w="9540"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9C7E187" w14:textId="77777777" w:rsidR="003E48FD" w:rsidRPr="00E3509D" w:rsidRDefault="003E48FD" w:rsidP="00070EA9">
            <w:pPr>
              <w:spacing w:before="120" w:line="240" w:lineRule="auto"/>
              <w:ind w:right="446"/>
              <w:jc w:val="center"/>
              <w:rPr>
                <w:rFonts w:ascii="Arial" w:hAnsi="Arial" w:cs="Arial"/>
                <w:b/>
                <w:sz w:val="24"/>
                <w:szCs w:val="24"/>
              </w:rPr>
            </w:pPr>
            <w:bookmarkStart w:id="4" w:name="Table2"/>
            <w:r w:rsidRPr="00E3509D">
              <w:rPr>
                <w:rFonts w:ascii="Arial" w:hAnsi="Arial" w:cs="Arial"/>
                <w:b/>
                <w:sz w:val="24"/>
                <w:szCs w:val="24"/>
              </w:rPr>
              <w:lastRenderedPageBreak/>
              <w:t>Table 2</w:t>
            </w:r>
            <w:bookmarkEnd w:id="4"/>
            <w:r w:rsidRPr="00E3509D">
              <w:rPr>
                <w:rFonts w:ascii="Arial" w:hAnsi="Arial" w:cs="Arial"/>
                <w:b/>
                <w:sz w:val="24"/>
                <w:szCs w:val="24"/>
              </w:rPr>
              <w:t>: RISK RATING</w:t>
            </w:r>
          </w:p>
        </w:tc>
      </w:tr>
      <w:tr w:rsidR="003E48FD" w:rsidRPr="00E3509D" w14:paraId="5C17C7CD" w14:textId="77777777" w:rsidTr="003E48FD">
        <w:tc>
          <w:tcPr>
            <w:tcW w:w="2340" w:type="dxa"/>
            <w:vMerge w:val="restart"/>
            <w:tcBorders>
              <w:top w:val="single" w:sz="4" w:space="0" w:color="auto"/>
              <w:left w:val="single" w:sz="4" w:space="0" w:color="auto"/>
              <w:bottom w:val="single" w:sz="4" w:space="0" w:color="auto"/>
              <w:right w:val="single" w:sz="4" w:space="0" w:color="auto"/>
            </w:tcBorders>
            <w:shd w:val="clear" w:color="auto" w:fill="9CC2E5"/>
            <w:vAlign w:val="center"/>
            <w:hideMark/>
          </w:tcPr>
          <w:p w14:paraId="3F9BE13A" w14:textId="77777777" w:rsidR="003E48FD" w:rsidRPr="004D46A7" w:rsidRDefault="003E48FD" w:rsidP="00070EA9">
            <w:pPr>
              <w:spacing w:before="120" w:line="240" w:lineRule="auto"/>
              <w:ind w:right="446"/>
              <w:jc w:val="both"/>
              <w:rPr>
                <w:rFonts w:ascii="Arial" w:hAnsi="Arial" w:cs="Arial"/>
                <w:b/>
                <w:bCs/>
              </w:rPr>
            </w:pPr>
            <w:r w:rsidRPr="004D46A7">
              <w:rPr>
                <w:rFonts w:ascii="Arial" w:hAnsi="Arial" w:cs="Arial"/>
                <w:b/>
                <w:bCs/>
              </w:rPr>
              <w:t>Impact</w:t>
            </w:r>
          </w:p>
          <w:p w14:paraId="5A1C4C07" w14:textId="77777777" w:rsidR="003E48FD" w:rsidRPr="004D46A7" w:rsidRDefault="003E48FD" w:rsidP="00070EA9">
            <w:pPr>
              <w:spacing w:before="120" w:line="240" w:lineRule="auto"/>
              <w:ind w:right="446"/>
              <w:rPr>
                <w:rFonts w:ascii="Arial" w:hAnsi="Arial" w:cs="Arial"/>
                <w:b/>
              </w:rPr>
            </w:pPr>
            <w:r w:rsidRPr="004D46A7">
              <w:rPr>
                <w:rFonts w:ascii="Arial" w:hAnsi="Arial" w:cs="Arial"/>
                <w:b/>
                <w:bCs/>
              </w:rPr>
              <w:t>(Confidentiality, Integrity, Availability)</w:t>
            </w:r>
          </w:p>
        </w:tc>
        <w:tc>
          <w:tcPr>
            <w:tcW w:w="7200" w:type="dxa"/>
            <w:gridSpan w:val="3"/>
            <w:tcBorders>
              <w:top w:val="single" w:sz="4" w:space="0" w:color="auto"/>
              <w:left w:val="single" w:sz="4" w:space="0" w:color="auto"/>
              <w:bottom w:val="single" w:sz="4" w:space="0" w:color="auto"/>
              <w:right w:val="single" w:sz="4" w:space="0" w:color="auto"/>
            </w:tcBorders>
            <w:shd w:val="clear" w:color="auto" w:fill="9CC2E5"/>
            <w:hideMark/>
          </w:tcPr>
          <w:p w14:paraId="0A9DA035" w14:textId="77777777" w:rsidR="003E48FD" w:rsidRPr="004D46A7" w:rsidRDefault="003E48FD" w:rsidP="00070EA9">
            <w:pPr>
              <w:spacing w:before="120" w:line="240" w:lineRule="auto"/>
              <w:ind w:right="446"/>
              <w:jc w:val="center"/>
              <w:rPr>
                <w:rFonts w:ascii="Arial" w:hAnsi="Arial" w:cs="Arial"/>
                <w:b/>
              </w:rPr>
            </w:pPr>
            <w:r w:rsidRPr="004D46A7">
              <w:rPr>
                <w:rFonts w:ascii="Arial" w:hAnsi="Arial" w:cs="Arial"/>
                <w:b/>
              </w:rPr>
              <w:t>Exposure</w:t>
            </w:r>
          </w:p>
        </w:tc>
      </w:tr>
      <w:tr w:rsidR="003E48FD" w:rsidRPr="00E3509D" w14:paraId="6976F4EA" w14:textId="77777777" w:rsidTr="003E48FD">
        <w:tc>
          <w:tcPr>
            <w:tcW w:w="2340" w:type="dxa"/>
            <w:vMerge/>
            <w:tcBorders>
              <w:top w:val="single" w:sz="4" w:space="0" w:color="auto"/>
              <w:left w:val="single" w:sz="4" w:space="0" w:color="auto"/>
              <w:bottom w:val="single" w:sz="4" w:space="0" w:color="auto"/>
              <w:right w:val="single" w:sz="4" w:space="0" w:color="auto"/>
            </w:tcBorders>
            <w:vAlign w:val="center"/>
            <w:hideMark/>
          </w:tcPr>
          <w:p w14:paraId="1758E64E" w14:textId="77777777" w:rsidR="003E48FD" w:rsidRPr="004D46A7" w:rsidRDefault="003E48FD" w:rsidP="00070EA9">
            <w:pPr>
              <w:spacing w:before="120" w:line="240" w:lineRule="auto"/>
              <w:ind w:right="446"/>
              <w:jc w:val="both"/>
              <w:rPr>
                <w:rFonts w:ascii="Arial" w:hAnsi="Arial" w:cs="Arial"/>
                <w:b/>
              </w:rPr>
            </w:pPr>
          </w:p>
        </w:tc>
        <w:tc>
          <w:tcPr>
            <w:tcW w:w="2340" w:type="dxa"/>
            <w:tcBorders>
              <w:top w:val="single" w:sz="4" w:space="0" w:color="auto"/>
              <w:left w:val="single" w:sz="4" w:space="0" w:color="auto"/>
              <w:bottom w:val="single" w:sz="4" w:space="0" w:color="auto"/>
              <w:right w:val="single" w:sz="4" w:space="0" w:color="auto"/>
            </w:tcBorders>
            <w:hideMark/>
          </w:tcPr>
          <w:p w14:paraId="48880837" w14:textId="77777777" w:rsidR="003E48FD" w:rsidRPr="004D46A7" w:rsidRDefault="003E48FD" w:rsidP="00070EA9">
            <w:pPr>
              <w:spacing w:before="120" w:line="240" w:lineRule="auto"/>
              <w:ind w:right="446"/>
              <w:rPr>
                <w:rFonts w:ascii="Arial" w:hAnsi="Arial" w:cs="Arial"/>
                <w:b/>
              </w:rPr>
            </w:pPr>
            <w:r w:rsidRPr="004D46A7">
              <w:rPr>
                <w:rFonts w:ascii="Arial" w:hAnsi="Arial" w:cs="Arial"/>
                <w:b/>
              </w:rPr>
              <w:t>Systems with no network connectivity to production data</w:t>
            </w:r>
          </w:p>
          <w:p w14:paraId="25B00391" w14:textId="77777777" w:rsidR="003E48FD" w:rsidRPr="004D46A7" w:rsidRDefault="003E48FD" w:rsidP="00070EA9">
            <w:pPr>
              <w:spacing w:before="120" w:line="240" w:lineRule="auto"/>
              <w:ind w:right="446"/>
              <w:rPr>
                <w:rFonts w:ascii="Arial" w:hAnsi="Arial" w:cs="Arial"/>
                <w:b/>
              </w:rPr>
            </w:pPr>
            <w:r w:rsidRPr="004D46A7">
              <w:rPr>
                <w:rFonts w:ascii="Arial" w:hAnsi="Arial" w:cs="Arial"/>
                <w:b/>
              </w:rPr>
              <w:tab/>
            </w:r>
          </w:p>
        </w:tc>
        <w:tc>
          <w:tcPr>
            <w:tcW w:w="2790" w:type="dxa"/>
            <w:tcBorders>
              <w:top w:val="single" w:sz="4" w:space="0" w:color="auto"/>
              <w:left w:val="single" w:sz="4" w:space="0" w:color="auto"/>
              <w:bottom w:val="single" w:sz="4" w:space="0" w:color="auto"/>
              <w:right w:val="single" w:sz="4" w:space="0" w:color="auto"/>
            </w:tcBorders>
            <w:hideMark/>
          </w:tcPr>
          <w:p w14:paraId="6C85A67E" w14:textId="77777777" w:rsidR="003E48FD" w:rsidRPr="004D46A7" w:rsidRDefault="003E48FD" w:rsidP="00070EA9">
            <w:pPr>
              <w:spacing w:before="120" w:line="240" w:lineRule="auto"/>
              <w:ind w:right="446"/>
              <w:rPr>
                <w:rFonts w:ascii="Arial" w:hAnsi="Arial" w:cs="Arial"/>
                <w:b/>
              </w:rPr>
            </w:pPr>
            <w:r w:rsidRPr="004D46A7">
              <w:rPr>
                <w:rFonts w:ascii="Arial" w:hAnsi="Arial" w:cs="Arial"/>
                <w:b/>
              </w:rPr>
              <w:t>Systems with network connectivity to</w:t>
            </w:r>
            <w:r>
              <w:rPr>
                <w:rFonts w:ascii="Arial" w:hAnsi="Arial" w:cs="Arial"/>
                <w:b/>
              </w:rPr>
              <w:t xml:space="preserve"> production data (not internet </w:t>
            </w:r>
            <w:r w:rsidRPr="004D46A7">
              <w:rPr>
                <w:rFonts w:ascii="Arial" w:hAnsi="Arial" w:cs="Arial"/>
                <w:b/>
              </w:rPr>
              <w:t>facing)</w:t>
            </w:r>
          </w:p>
        </w:tc>
        <w:tc>
          <w:tcPr>
            <w:tcW w:w="2070" w:type="dxa"/>
            <w:tcBorders>
              <w:top w:val="single" w:sz="4" w:space="0" w:color="auto"/>
              <w:left w:val="single" w:sz="4" w:space="0" w:color="auto"/>
              <w:bottom w:val="single" w:sz="4" w:space="0" w:color="auto"/>
              <w:right w:val="single" w:sz="4" w:space="0" w:color="auto"/>
            </w:tcBorders>
            <w:hideMark/>
          </w:tcPr>
          <w:p w14:paraId="5E51214A" w14:textId="77777777" w:rsidR="003E48FD" w:rsidRPr="004D46A7" w:rsidRDefault="003E48FD" w:rsidP="00070EA9">
            <w:pPr>
              <w:spacing w:before="120" w:line="240" w:lineRule="auto"/>
              <w:ind w:right="446"/>
              <w:rPr>
                <w:rFonts w:ascii="Arial" w:hAnsi="Arial" w:cs="Arial"/>
                <w:b/>
              </w:rPr>
            </w:pPr>
            <w:r w:rsidRPr="004D46A7">
              <w:rPr>
                <w:rFonts w:ascii="Arial" w:hAnsi="Arial" w:cs="Arial"/>
                <w:b/>
              </w:rPr>
              <w:t>System that is publicly available from the internet</w:t>
            </w:r>
          </w:p>
        </w:tc>
      </w:tr>
      <w:tr w:rsidR="003E48FD" w:rsidRPr="00E3509D" w14:paraId="0A20FC4C" w14:textId="77777777" w:rsidTr="003E48FD">
        <w:tc>
          <w:tcPr>
            <w:tcW w:w="2340" w:type="dxa"/>
            <w:tcBorders>
              <w:top w:val="single" w:sz="4" w:space="0" w:color="auto"/>
              <w:left w:val="single" w:sz="4" w:space="0" w:color="auto"/>
              <w:bottom w:val="single" w:sz="4" w:space="0" w:color="auto"/>
              <w:right w:val="single" w:sz="4" w:space="0" w:color="auto"/>
            </w:tcBorders>
            <w:hideMark/>
          </w:tcPr>
          <w:p w14:paraId="139E9777" w14:textId="77777777" w:rsidR="003E48FD" w:rsidRPr="004D46A7" w:rsidRDefault="003E48FD" w:rsidP="00070EA9">
            <w:pPr>
              <w:spacing w:before="120" w:line="240" w:lineRule="auto"/>
              <w:ind w:right="446"/>
              <w:jc w:val="both"/>
              <w:rPr>
                <w:rFonts w:ascii="Arial" w:hAnsi="Arial" w:cs="Arial"/>
                <w:b/>
                <w:bCs/>
              </w:rPr>
            </w:pPr>
            <w:r w:rsidRPr="004D46A7">
              <w:rPr>
                <w:rFonts w:ascii="Arial" w:hAnsi="Arial" w:cs="Arial"/>
                <w:b/>
                <w:bCs/>
              </w:rPr>
              <w:t>High</w:t>
            </w:r>
          </w:p>
        </w:tc>
        <w:tc>
          <w:tcPr>
            <w:tcW w:w="2340" w:type="dxa"/>
            <w:tcBorders>
              <w:top w:val="single" w:sz="4" w:space="0" w:color="auto"/>
              <w:left w:val="single" w:sz="4" w:space="0" w:color="auto"/>
              <w:bottom w:val="single" w:sz="4" w:space="0" w:color="auto"/>
              <w:right w:val="single" w:sz="4" w:space="0" w:color="auto"/>
            </w:tcBorders>
            <w:hideMark/>
          </w:tcPr>
          <w:p w14:paraId="46257DA2" w14:textId="77777777" w:rsidR="003E48FD" w:rsidRPr="004D46A7" w:rsidRDefault="003E48FD" w:rsidP="00070EA9">
            <w:pPr>
              <w:spacing w:before="120" w:line="240" w:lineRule="auto"/>
              <w:ind w:right="446"/>
              <w:jc w:val="both"/>
              <w:rPr>
                <w:rFonts w:ascii="Arial" w:hAnsi="Arial" w:cs="Arial"/>
                <w:b/>
              </w:rPr>
            </w:pPr>
            <w:r w:rsidRPr="004D46A7">
              <w:rPr>
                <w:rFonts w:ascii="Arial" w:hAnsi="Arial" w:cs="Arial"/>
                <w:b/>
              </w:rPr>
              <w:t>Medium</w:t>
            </w:r>
          </w:p>
        </w:tc>
        <w:tc>
          <w:tcPr>
            <w:tcW w:w="2790" w:type="dxa"/>
            <w:tcBorders>
              <w:top w:val="single" w:sz="4" w:space="0" w:color="auto"/>
              <w:left w:val="single" w:sz="4" w:space="0" w:color="auto"/>
              <w:bottom w:val="single" w:sz="4" w:space="0" w:color="auto"/>
              <w:right w:val="single" w:sz="4" w:space="0" w:color="auto"/>
            </w:tcBorders>
            <w:hideMark/>
          </w:tcPr>
          <w:p w14:paraId="27517BAE" w14:textId="77777777" w:rsidR="003E48FD" w:rsidRPr="004D46A7" w:rsidRDefault="003E48FD" w:rsidP="00070EA9">
            <w:pPr>
              <w:spacing w:before="120" w:line="240" w:lineRule="auto"/>
              <w:ind w:right="446"/>
              <w:jc w:val="both"/>
              <w:rPr>
                <w:rFonts w:ascii="Arial" w:hAnsi="Arial" w:cs="Arial"/>
                <w:b/>
              </w:rPr>
            </w:pPr>
            <w:r w:rsidRPr="004D46A7">
              <w:rPr>
                <w:rFonts w:ascii="Arial" w:hAnsi="Arial" w:cs="Arial"/>
                <w:b/>
              </w:rPr>
              <w:t>High</w:t>
            </w:r>
          </w:p>
        </w:tc>
        <w:tc>
          <w:tcPr>
            <w:tcW w:w="2070" w:type="dxa"/>
            <w:tcBorders>
              <w:top w:val="single" w:sz="4" w:space="0" w:color="auto"/>
              <w:left w:val="single" w:sz="4" w:space="0" w:color="auto"/>
              <w:bottom w:val="single" w:sz="4" w:space="0" w:color="auto"/>
              <w:right w:val="single" w:sz="4" w:space="0" w:color="auto"/>
            </w:tcBorders>
            <w:hideMark/>
          </w:tcPr>
          <w:p w14:paraId="7C029527" w14:textId="77777777" w:rsidR="003E48FD" w:rsidRPr="004D46A7" w:rsidRDefault="003E48FD" w:rsidP="00070EA9">
            <w:pPr>
              <w:spacing w:before="120" w:line="240" w:lineRule="auto"/>
              <w:ind w:right="446"/>
              <w:jc w:val="both"/>
              <w:rPr>
                <w:rFonts w:ascii="Arial" w:hAnsi="Arial" w:cs="Arial"/>
                <w:b/>
              </w:rPr>
            </w:pPr>
            <w:r w:rsidRPr="004D46A7">
              <w:rPr>
                <w:rFonts w:ascii="Arial" w:hAnsi="Arial" w:cs="Arial"/>
                <w:b/>
              </w:rPr>
              <w:t>High</w:t>
            </w:r>
          </w:p>
        </w:tc>
      </w:tr>
      <w:tr w:rsidR="003E48FD" w:rsidRPr="00E3509D" w14:paraId="276C760B" w14:textId="77777777" w:rsidTr="003E48FD">
        <w:tc>
          <w:tcPr>
            <w:tcW w:w="2340" w:type="dxa"/>
            <w:tcBorders>
              <w:top w:val="single" w:sz="4" w:space="0" w:color="auto"/>
              <w:left w:val="single" w:sz="4" w:space="0" w:color="auto"/>
              <w:bottom w:val="single" w:sz="4" w:space="0" w:color="auto"/>
              <w:right w:val="single" w:sz="4" w:space="0" w:color="auto"/>
            </w:tcBorders>
            <w:hideMark/>
          </w:tcPr>
          <w:p w14:paraId="2E7B9E4B" w14:textId="77777777" w:rsidR="003E48FD" w:rsidRPr="004D46A7" w:rsidRDefault="003E48FD" w:rsidP="00070EA9">
            <w:pPr>
              <w:spacing w:before="120" w:line="240" w:lineRule="auto"/>
              <w:ind w:right="446"/>
              <w:jc w:val="both"/>
              <w:rPr>
                <w:rFonts w:ascii="Arial" w:hAnsi="Arial" w:cs="Arial"/>
                <w:b/>
                <w:bCs/>
              </w:rPr>
            </w:pPr>
            <w:r>
              <w:rPr>
                <w:rFonts w:ascii="Arial" w:hAnsi="Arial" w:cs="Arial"/>
                <w:b/>
                <w:bCs/>
              </w:rPr>
              <w:t>Medium</w:t>
            </w:r>
          </w:p>
        </w:tc>
        <w:tc>
          <w:tcPr>
            <w:tcW w:w="2340" w:type="dxa"/>
            <w:tcBorders>
              <w:top w:val="single" w:sz="4" w:space="0" w:color="auto"/>
              <w:left w:val="single" w:sz="4" w:space="0" w:color="auto"/>
              <w:bottom w:val="single" w:sz="4" w:space="0" w:color="auto"/>
              <w:right w:val="single" w:sz="4" w:space="0" w:color="auto"/>
            </w:tcBorders>
            <w:hideMark/>
          </w:tcPr>
          <w:p w14:paraId="57745CF1" w14:textId="77777777" w:rsidR="003E48FD" w:rsidRPr="004D46A7" w:rsidRDefault="003E48FD" w:rsidP="00070EA9">
            <w:pPr>
              <w:spacing w:before="120" w:line="240" w:lineRule="auto"/>
              <w:ind w:right="446"/>
              <w:jc w:val="both"/>
              <w:rPr>
                <w:rFonts w:ascii="Arial" w:hAnsi="Arial" w:cs="Arial"/>
                <w:b/>
              </w:rPr>
            </w:pPr>
            <w:r w:rsidRPr="004D46A7">
              <w:rPr>
                <w:rFonts w:ascii="Arial" w:hAnsi="Arial" w:cs="Arial"/>
                <w:b/>
              </w:rPr>
              <w:t>Low</w:t>
            </w:r>
          </w:p>
        </w:tc>
        <w:tc>
          <w:tcPr>
            <w:tcW w:w="2790" w:type="dxa"/>
            <w:tcBorders>
              <w:top w:val="single" w:sz="4" w:space="0" w:color="auto"/>
              <w:left w:val="single" w:sz="4" w:space="0" w:color="auto"/>
              <w:bottom w:val="single" w:sz="4" w:space="0" w:color="auto"/>
              <w:right w:val="single" w:sz="4" w:space="0" w:color="auto"/>
            </w:tcBorders>
            <w:hideMark/>
          </w:tcPr>
          <w:p w14:paraId="261E5E26" w14:textId="77777777" w:rsidR="003E48FD" w:rsidRPr="004D46A7" w:rsidRDefault="003E48FD" w:rsidP="00070EA9">
            <w:pPr>
              <w:spacing w:before="120" w:line="240" w:lineRule="auto"/>
              <w:ind w:right="446"/>
              <w:jc w:val="both"/>
              <w:rPr>
                <w:rFonts w:ascii="Arial" w:hAnsi="Arial" w:cs="Arial"/>
                <w:b/>
              </w:rPr>
            </w:pPr>
            <w:r w:rsidRPr="004D46A7">
              <w:rPr>
                <w:rFonts w:ascii="Arial" w:hAnsi="Arial" w:cs="Arial"/>
                <w:b/>
              </w:rPr>
              <w:t>Medium</w:t>
            </w:r>
          </w:p>
        </w:tc>
        <w:tc>
          <w:tcPr>
            <w:tcW w:w="2070" w:type="dxa"/>
            <w:tcBorders>
              <w:top w:val="single" w:sz="4" w:space="0" w:color="auto"/>
              <w:left w:val="single" w:sz="4" w:space="0" w:color="auto"/>
              <w:bottom w:val="single" w:sz="4" w:space="0" w:color="auto"/>
              <w:right w:val="single" w:sz="4" w:space="0" w:color="auto"/>
            </w:tcBorders>
            <w:hideMark/>
          </w:tcPr>
          <w:p w14:paraId="760E8E0D" w14:textId="77777777" w:rsidR="003E48FD" w:rsidRPr="004D46A7" w:rsidRDefault="003E48FD" w:rsidP="00070EA9">
            <w:pPr>
              <w:spacing w:before="120" w:line="240" w:lineRule="auto"/>
              <w:ind w:right="446"/>
              <w:jc w:val="both"/>
              <w:rPr>
                <w:rFonts w:ascii="Arial" w:hAnsi="Arial" w:cs="Arial"/>
                <w:b/>
              </w:rPr>
            </w:pPr>
            <w:r w:rsidRPr="004D46A7">
              <w:rPr>
                <w:rFonts w:ascii="Arial" w:hAnsi="Arial" w:cs="Arial"/>
                <w:b/>
              </w:rPr>
              <w:t>High</w:t>
            </w:r>
          </w:p>
        </w:tc>
      </w:tr>
      <w:tr w:rsidR="003E48FD" w:rsidRPr="00E3509D" w14:paraId="1171BF5D" w14:textId="77777777" w:rsidTr="003E48FD">
        <w:tc>
          <w:tcPr>
            <w:tcW w:w="2340" w:type="dxa"/>
            <w:tcBorders>
              <w:top w:val="single" w:sz="4" w:space="0" w:color="auto"/>
              <w:left w:val="single" w:sz="4" w:space="0" w:color="auto"/>
              <w:bottom w:val="single" w:sz="4" w:space="0" w:color="auto"/>
              <w:right w:val="single" w:sz="4" w:space="0" w:color="auto"/>
            </w:tcBorders>
            <w:hideMark/>
          </w:tcPr>
          <w:p w14:paraId="06F95E70" w14:textId="77777777" w:rsidR="003E48FD" w:rsidRPr="004D46A7" w:rsidRDefault="003E48FD" w:rsidP="00070EA9">
            <w:pPr>
              <w:spacing w:before="120" w:line="240" w:lineRule="auto"/>
              <w:ind w:right="446"/>
              <w:jc w:val="both"/>
              <w:rPr>
                <w:rFonts w:ascii="Arial" w:hAnsi="Arial" w:cs="Arial"/>
                <w:b/>
              </w:rPr>
            </w:pPr>
            <w:r w:rsidRPr="004D46A7">
              <w:rPr>
                <w:rFonts w:ascii="Arial" w:hAnsi="Arial" w:cs="Arial"/>
                <w:b/>
              </w:rPr>
              <w:t>Low</w:t>
            </w:r>
          </w:p>
        </w:tc>
        <w:tc>
          <w:tcPr>
            <w:tcW w:w="2340" w:type="dxa"/>
            <w:tcBorders>
              <w:top w:val="single" w:sz="4" w:space="0" w:color="auto"/>
              <w:left w:val="single" w:sz="4" w:space="0" w:color="auto"/>
              <w:bottom w:val="single" w:sz="4" w:space="0" w:color="auto"/>
              <w:right w:val="single" w:sz="4" w:space="0" w:color="auto"/>
            </w:tcBorders>
            <w:hideMark/>
          </w:tcPr>
          <w:p w14:paraId="27A8AB62" w14:textId="77777777" w:rsidR="003E48FD" w:rsidRPr="004D46A7" w:rsidRDefault="003E48FD" w:rsidP="00070EA9">
            <w:pPr>
              <w:spacing w:before="120" w:line="240" w:lineRule="auto"/>
              <w:ind w:right="446"/>
              <w:jc w:val="both"/>
              <w:rPr>
                <w:rFonts w:ascii="Arial" w:hAnsi="Arial" w:cs="Arial"/>
                <w:b/>
              </w:rPr>
            </w:pPr>
            <w:r w:rsidRPr="004D46A7">
              <w:rPr>
                <w:rFonts w:ascii="Arial" w:hAnsi="Arial" w:cs="Arial"/>
                <w:b/>
              </w:rPr>
              <w:t>Low</w:t>
            </w:r>
          </w:p>
        </w:tc>
        <w:tc>
          <w:tcPr>
            <w:tcW w:w="2790" w:type="dxa"/>
            <w:tcBorders>
              <w:top w:val="single" w:sz="4" w:space="0" w:color="auto"/>
              <w:left w:val="single" w:sz="4" w:space="0" w:color="auto"/>
              <w:bottom w:val="single" w:sz="4" w:space="0" w:color="auto"/>
              <w:right w:val="single" w:sz="4" w:space="0" w:color="auto"/>
            </w:tcBorders>
            <w:hideMark/>
          </w:tcPr>
          <w:p w14:paraId="0CC38707" w14:textId="77777777" w:rsidR="003E48FD" w:rsidRPr="004D46A7" w:rsidRDefault="003E48FD" w:rsidP="00070EA9">
            <w:pPr>
              <w:spacing w:before="120" w:line="240" w:lineRule="auto"/>
              <w:ind w:right="446"/>
              <w:jc w:val="both"/>
              <w:rPr>
                <w:rFonts w:ascii="Arial" w:hAnsi="Arial" w:cs="Arial"/>
                <w:b/>
              </w:rPr>
            </w:pPr>
            <w:r w:rsidRPr="004D46A7">
              <w:rPr>
                <w:rFonts w:ascii="Arial" w:hAnsi="Arial" w:cs="Arial"/>
                <w:b/>
              </w:rPr>
              <w:t>Low</w:t>
            </w:r>
          </w:p>
        </w:tc>
        <w:tc>
          <w:tcPr>
            <w:tcW w:w="2070" w:type="dxa"/>
            <w:tcBorders>
              <w:top w:val="single" w:sz="4" w:space="0" w:color="auto"/>
              <w:left w:val="single" w:sz="4" w:space="0" w:color="auto"/>
              <w:bottom w:val="single" w:sz="4" w:space="0" w:color="auto"/>
              <w:right w:val="single" w:sz="4" w:space="0" w:color="auto"/>
            </w:tcBorders>
            <w:hideMark/>
          </w:tcPr>
          <w:p w14:paraId="441FC267" w14:textId="77777777" w:rsidR="003E48FD" w:rsidRPr="004D46A7" w:rsidRDefault="003E48FD" w:rsidP="00070EA9">
            <w:pPr>
              <w:spacing w:before="120" w:line="240" w:lineRule="auto"/>
              <w:ind w:right="446"/>
              <w:jc w:val="both"/>
              <w:rPr>
                <w:rFonts w:ascii="Arial" w:hAnsi="Arial" w:cs="Arial"/>
                <w:b/>
              </w:rPr>
            </w:pPr>
            <w:r w:rsidRPr="004D46A7">
              <w:rPr>
                <w:rFonts w:ascii="Arial" w:hAnsi="Arial" w:cs="Arial"/>
                <w:b/>
              </w:rPr>
              <w:t>Medium</w:t>
            </w:r>
          </w:p>
        </w:tc>
      </w:tr>
    </w:tbl>
    <w:p w14:paraId="53C7135F" w14:textId="77777777" w:rsidR="003E48FD" w:rsidRDefault="003E48FD" w:rsidP="003E48FD">
      <w:pPr>
        <w:spacing w:before="120" w:line="240" w:lineRule="auto"/>
        <w:ind w:right="446"/>
        <w:jc w:val="both"/>
        <w:rPr>
          <w:rFonts w:ascii="Arial" w:hAnsi="Arial" w:cs="Arial"/>
          <w:sz w:val="24"/>
          <w:szCs w:val="24"/>
        </w:rPr>
      </w:pPr>
      <w:r w:rsidRPr="00A33EDB">
        <w:rPr>
          <w:rFonts w:ascii="Arial" w:hAnsi="Arial" w:cs="Arial"/>
          <w:sz w:val="24"/>
          <w:szCs w:val="24"/>
        </w:rPr>
        <w:t>Minimum frequency of scans is dependent on the risk rating. Systems without a risk rating must be scanned as if they had a risk rating of “High” until they are rated.</w:t>
      </w:r>
    </w:p>
    <w:p w14:paraId="2A5BAA55" w14:textId="77777777" w:rsidR="003E48FD" w:rsidRPr="00A33EDB" w:rsidRDefault="003E48FD" w:rsidP="003E48FD">
      <w:pPr>
        <w:spacing w:before="120" w:line="240" w:lineRule="auto"/>
        <w:ind w:right="446"/>
        <w:jc w:val="both"/>
        <w:rPr>
          <w:rFonts w:ascii="Arial" w:hAnsi="Arial" w:cs="Arial"/>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8"/>
        <w:gridCol w:w="4617"/>
      </w:tblGrid>
      <w:tr w:rsidR="003E48FD" w:rsidRPr="00E3509D" w14:paraId="032428AD" w14:textId="77777777" w:rsidTr="00070EA9">
        <w:tc>
          <w:tcPr>
            <w:tcW w:w="954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9A251AD" w14:textId="77777777" w:rsidR="003E48FD" w:rsidRPr="00E3509D" w:rsidRDefault="003E48FD" w:rsidP="00070EA9">
            <w:pPr>
              <w:spacing w:before="120" w:line="240" w:lineRule="auto"/>
              <w:ind w:right="446"/>
              <w:jc w:val="center"/>
              <w:rPr>
                <w:rFonts w:ascii="Arial" w:hAnsi="Arial" w:cs="Arial"/>
                <w:b/>
                <w:sz w:val="24"/>
                <w:szCs w:val="24"/>
              </w:rPr>
            </w:pPr>
            <w:r w:rsidRPr="00E3509D">
              <w:rPr>
                <w:rFonts w:ascii="Arial" w:hAnsi="Arial" w:cs="Arial"/>
                <w:b/>
                <w:sz w:val="24"/>
                <w:szCs w:val="24"/>
              </w:rPr>
              <w:br w:type="page"/>
            </w:r>
            <w:r w:rsidRPr="00E3509D">
              <w:rPr>
                <w:rFonts w:ascii="Arial" w:hAnsi="Arial" w:cs="Arial"/>
                <w:b/>
                <w:sz w:val="24"/>
                <w:szCs w:val="24"/>
              </w:rPr>
              <w:br w:type="page"/>
              <w:t>TABLE 3: FREQUENCY OF SCANS</w:t>
            </w:r>
          </w:p>
        </w:tc>
      </w:tr>
      <w:tr w:rsidR="003E48FD" w:rsidRPr="00E3509D" w14:paraId="2381C73C" w14:textId="77777777" w:rsidTr="00070EA9">
        <w:tc>
          <w:tcPr>
            <w:tcW w:w="4838" w:type="dxa"/>
            <w:tcBorders>
              <w:top w:val="single" w:sz="4" w:space="0" w:color="auto"/>
              <w:left w:val="single" w:sz="4" w:space="0" w:color="auto"/>
              <w:bottom w:val="single" w:sz="4" w:space="0" w:color="auto"/>
              <w:right w:val="single" w:sz="4" w:space="0" w:color="auto"/>
            </w:tcBorders>
            <w:shd w:val="clear" w:color="auto" w:fill="9CC2E5"/>
            <w:hideMark/>
          </w:tcPr>
          <w:p w14:paraId="1D392B9F" w14:textId="77777777" w:rsidR="003E48FD" w:rsidRPr="00E3509D" w:rsidRDefault="003E48FD" w:rsidP="00070EA9">
            <w:pPr>
              <w:spacing w:before="120" w:line="240" w:lineRule="auto"/>
              <w:ind w:right="446"/>
              <w:jc w:val="center"/>
              <w:rPr>
                <w:rFonts w:ascii="Arial" w:hAnsi="Arial" w:cs="Arial"/>
                <w:b/>
                <w:sz w:val="24"/>
                <w:szCs w:val="24"/>
              </w:rPr>
            </w:pPr>
            <w:r w:rsidRPr="00E3509D">
              <w:rPr>
                <w:rFonts w:ascii="Arial" w:hAnsi="Arial" w:cs="Arial"/>
                <w:b/>
                <w:sz w:val="24"/>
                <w:szCs w:val="24"/>
              </w:rPr>
              <w:t>Risk Rating</w:t>
            </w:r>
          </w:p>
        </w:tc>
        <w:tc>
          <w:tcPr>
            <w:tcW w:w="4702" w:type="dxa"/>
            <w:tcBorders>
              <w:top w:val="single" w:sz="4" w:space="0" w:color="auto"/>
              <w:left w:val="single" w:sz="4" w:space="0" w:color="auto"/>
              <w:bottom w:val="single" w:sz="4" w:space="0" w:color="auto"/>
              <w:right w:val="single" w:sz="4" w:space="0" w:color="auto"/>
            </w:tcBorders>
            <w:shd w:val="clear" w:color="auto" w:fill="9CC2E5"/>
            <w:hideMark/>
          </w:tcPr>
          <w:p w14:paraId="354B4423" w14:textId="77777777" w:rsidR="003E48FD" w:rsidRPr="00E3509D" w:rsidRDefault="003E48FD" w:rsidP="00070EA9">
            <w:pPr>
              <w:spacing w:before="120" w:line="240" w:lineRule="auto"/>
              <w:ind w:right="446"/>
              <w:jc w:val="center"/>
              <w:rPr>
                <w:rFonts w:ascii="Arial" w:hAnsi="Arial" w:cs="Arial"/>
                <w:b/>
                <w:sz w:val="24"/>
                <w:szCs w:val="24"/>
              </w:rPr>
            </w:pPr>
            <w:r w:rsidRPr="00E3509D">
              <w:rPr>
                <w:rFonts w:ascii="Arial" w:hAnsi="Arial" w:cs="Arial"/>
                <w:b/>
                <w:sz w:val="24"/>
                <w:szCs w:val="24"/>
              </w:rPr>
              <w:t>Frequency</w:t>
            </w:r>
          </w:p>
        </w:tc>
      </w:tr>
      <w:tr w:rsidR="003E48FD" w:rsidRPr="00E3509D" w14:paraId="592DA021" w14:textId="77777777" w:rsidTr="00070EA9">
        <w:tc>
          <w:tcPr>
            <w:tcW w:w="9540" w:type="dxa"/>
            <w:gridSpan w:val="2"/>
            <w:tcBorders>
              <w:top w:val="single" w:sz="4" w:space="0" w:color="auto"/>
              <w:left w:val="single" w:sz="4" w:space="0" w:color="auto"/>
              <w:bottom w:val="single" w:sz="4" w:space="0" w:color="auto"/>
              <w:right w:val="single" w:sz="4" w:space="0" w:color="auto"/>
            </w:tcBorders>
            <w:shd w:val="clear" w:color="auto" w:fill="BDD6EE"/>
            <w:hideMark/>
          </w:tcPr>
          <w:p w14:paraId="44C51E71" w14:textId="77777777" w:rsidR="003E48FD" w:rsidRPr="00E3509D" w:rsidRDefault="003E48FD" w:rsidP="00070EA9">
            <w:pPr>
              <w:spacing w:before="120" w:line="240" w:lineRule="auto"/>
              <w:ind w:right="446"/>
              <w:jc w:val="center"/>
              <w:rPr>
                <w:rFonts w:ascii="Arial" w:hAnsi="Arial" w:cs="Arial"/>
                <w:b/>
                <w:sz w:val="24"/>
                <w:szCs w:val="24"/>
              </w:rPr>
            </w:pPr>
            <w:r w:rsidRPr="00E3509D">
              <w:rPr>
                <w:rFonts w:ascii="Arial" w:hAnsi="Arial" w:cs="Arial"/>
                <w:b/>
                <w:sz w:val="24"/>
                <w:szCs w:val="24"/>
              </w:rPr>
              <w:t>Infrastructure scans</w:t>
            </w:r>
          </w:p>
        </w:tc>
      </w:tr>
      <w:tr w:rsidR="003E48FD" w:rsidRPr="00E3509D" w14:paraId="10E60E1D" w14:textId="77777777" w:rsidTr="00070EA9">
        <w:tc>
          <w:tcPr>
            <w:tcW w:w="4838" w:type="dxa"/>
            <w:tcBorders>
              <w:top w:val="single" w:sz="4" w:space="0" w:color="auto"/>
              <w:left w:val="single" w:sz="4" w:space="0" w:color="auto"/>
              <w:bottom w:val="single" w:sz="4" w:space="0" w:color="auto"/>
              <w:right w:val="single" w:sz="4" w:space="0" w:color="auto"/>
            </w:tcBorders>
            <w:hideMark/>
          </w:tcPr>
          <w:p w14:paraId="4664EBFA" w14:textId="77777777" w:rsidR="003E48FD" w:rsidRPr="00A33EDB" w:rsidRDefault="003E48FD" w:rsidP="00070EA9">
            <w:pPr>
              <w:spacing w:before="120" w:line="240" w:lineRule="auto"/>
              <w:ind w:right="446"/>
              <w:jc w:val="both"/>
              <w:rPr>
                <w:rFonts w:ascii="Arial" w:hAnsi="Arial" w:cs="Arial"/>
                <w:bCs/>
                <w:sz w:val="24"/>
                <w:szCs w:val="24"/>
              </w:rPr>
            </w:pPr>
            <w:r w:rsidRPr="00A33EDB">
              <w:rPr>
                <w:rFonts w:ascii="Arial" w:hAnsi="Arial" w:cs="Arial"/>
                <w:bCs/>
                <w:sz w:val="24"/>
                <w:szCs w:val="24"/>
              </w:rPr>
              <w:t>High</w:t>
            </w:r>
          </w:p>
        </w:tc>
        <w:tc>
          <w:tcPr>
            <w:tcW w:w="4702" w:type="dxa"/>
            <w:tcBorders>
              <w:top w:val="single" w:sz="4" w:space="0" w:color="auto"/>
              <w:left w:val="single" w:sz="4" w:space="0" w:color="auto"/>
              <w:bottom w:val="single" w:sz="4" w:space="0" w:color="auto"/>
              <w:right w:val="single" w:sz="4" w:space="0" w:color="auto"/>
            </w:tcBorders>
            <w:hideMark/>
          </w:tcPr>
          <w:p w14:paraId="28BDB56E" w14:textId="77777777" w:rsidR="003E48FD" w:rsidRPr="00A33EDB" w:rsidRDefault="003E48FD" w:rsidP="00070EA9">
            <w:pPr>
              <w:spacing w:before="120" w:line="240" w:lineRule="auto"/>
              <w:ind w:right="446"/>
              <w:jc w:val="both"/>
              <w:rPr>
                <w:rFonts w:ascii="Arial" w:hAnsi="Arial" w:cs="Arial"/>
                <w:sz w:val="24"/>
                <w:szCs w:val="24"/>
              </w:rPr>
            </w:pPr>
            <w:r w:rsidRPr="00A33EDB">
              <w:rPr>
                <w:rFonts w:ascii="Arial" w:hAnsi="Arial" w:cs="Arial"/>
                <w:sz w:val="24"/>
                <w:szCs w:val="24"/>
              </w:rPr>
              <w:t>Monthly</w:t>
            </w:r>
          </w:p>
        </w:tc>
      </w:tr>
      <w:tr w:rsidR="003E48FD" w:rsidRPr="00E3509D" w14:paraId="54DE7E15" w14:textId="77777777" w:rsidTr="00070EA9">
        <w:tc>
          <w:tcPr>
            <w:tcW w:w="4838" w:type="dxa"/>
            <w:tcBorders>
              <w:top w:val="single" w:sz="4" w:space="0" w:color="auto"/>
              <w:left w:val="single" w:sz="4" w:space="0" w:color="auto"/>
              <w:bottom w:val="single" w:sz="4" w:space="0" w:color="auto"/>
              <w:right w:val="single" w:sz="4" w:space="0" w:color="auto"/>
            </w:tcBorders>
            <w:hideMark/>
          </w:tcPr>
          <w:p w14:paraId="64B81725" w14:textId="77777777" w:rsidR="003E48FD" w:rsidRPr="00A33EDB" w:rsidRDefault="003E48FD" w:rsidP="00070EA9">
            <w:pPr>
              <w:spacing w:before="120" w:line="240" w:lineRule="auto"/>
              <w:ind w:right="446"/>
              <w:jc w:val="both"/>
              <w:rPr>
                <w:rFonts w:ascii="Arial" w:hAnsi="Arial" w:cs="Arial"/>
                <w:bCs/>
                <w:sz w:val="24"/>
                <w:szCs w:val="24"/>
              </w:rPr>
            </w:pPr>
            <w:r w:rsidRPr="00A33EDB">
              <w:rPr>
                <w:rFonts w:ascii="Arial" w:hAnsi="Arial" w:cs="Arial"/>
                <w:bCs/>
                <w:sz w:val="24"/>
                <w:szCs w:val="24"/>
              </w:rPr>
              <w:t>Medium</w:t>
            </w:r>
          </w:p>
        </w:tc>
        <w:tc>
          <w:tcPr>
            <w:tcW w:w="4702" w:type="dxa"/>
            <w:tcBorders>
              <w:top w:val="single" w:sz="4" w:space="0" w:color="auto"/>
              <w:left w:val="single" w:sz="4" w:space="0" w:color="auto"/>
              <w:bottom w:val="single" w:sz="4" w:space="0" w:color="auto"/>
              <w:right w:val="single" w:sz="4" w:space="0" w:color="auto"/>
            </w:tcBorders>
            <w:hideMark/>
          </w:tcPr>
          <w:p w14:paraId="055CD185" w14:textId="77777777" w:rsidR="003E48FD" w:rsidRPr="00A33EDB" w:rsidRDefault="003E48FD" w:rsidP="00070EA9">
            <w:pPr>
              <w:spacing w:before="120" w:line="240" w:lineRule="auto"/>
              <w:ind w:right="446"/>
              <w:jc w:val="both"/>
              <w:rPr>
                <w:rFonts w:ascii="Arial" w:hAnsi="Arial" w:cs="Arial"/>
                <w:sz w:val="24"/>
                <w:szCs w:val="24"/>
              </w:rPr>
            </w:pPr>
            <w:r w:rsidRPr="00A33EDB">
              <w:rPr>
                <w:rFonts w:ascii="Arial" w:hAnsi="Arial" w:cs="Arial"/>
                <w:sz w:val="24"/>
                <w:szCs w:val="24"/>
              </w:rPr>
              <w:t>Quarterly</w:t>
            </w:r>
          </w:p>
        </w:tc>
      </w:tr>
      <w:tr w:rsidR="003E48FD" w:rsidRPr="00E3509D" w14:paraId="33EBC080" w14:textId="77777777" w:rsidTr="00070EA9">
        <w:trPr>
          <w:trHeight w:val="305"/>
        </w:trPr>
        <w:tc>
          <w:tcPr>
            <w:tcW w:w="4838" w:type="dxa"/>
            <w:tcBorders>
              <w:top w:val="single" w:sz="4" w:space="0" w:color="auto"/>
              <w:left w:val="single" w:sz="4" w:space="0" w:color="auto"/>
              <w:bottom w:val="single" w:sz="4" w:space="0" w:color="auto"/>
              <w:right w:val="single" w:sz="4" w:space="0" w:color="auto"/>
            </w:tcBorders>
            <w:hideMark/>
          </w:tcPr>
          <w:p w14:paraId="7697D041" w14:textId="77777777" w:rsidR="003E48FD" w:rsidRPr="00A33EDB" w:rsidRDefault="003E48FD" w:rsidP="00070EA9">
            <w:pPr>
              <w:spacing w:before="120" w:line="240" w:lineRule="auto"/>
              <w:ind w:right="446"/>
              <w:jc w:val="both"/>
              <w:rPr>
                <w:rFonts w:ascii="Arial" w:hAnsi="Arial" w:cs="Arial"/>
                <w:bCs/>
                <w:sz w:val="24"/>
                <w:szCs w:val="24"/>
              </w:rPr>
            </w:pPr>
            <w:r w:rsidRPr="00A33EDB">
              <w:rPr>
                <w:rFonts w:ascii="Arial" w:hAnsi="Arial" w:cs="Arial"/>
                <w:bCs/>
                <w:sz w:val="24"/>
                <w:szCs w:val="24"/>
              </w:rPr>
              <w:t>Low</w:t>
            </w:r>
          </w:p>
        </w:tc>
        <w:tc>
          <w:tcPr>
            <w:tcW w:w="4702" w:type="dxa"/>
            <w:tcBorders>
              <w:top w:val="single" w:sz="4" w:space="0" w:color="auto"/>
              <w:left w:val="single" w:sz="4" w:space="0" w:color="auto"/>
              <w:bottom w:val="single" w:sz="4" w:space="0" w:color="auto"/>
              <w:right w:val="single" w:sz="4" w:space="0" w:color="auto"/>
            </w:tcBorders>
            <w:hideMark/>
          </w:tcPr>
          <w:p w14:paraId="391D4BA5" w14:textId="77777777" w:rsidR="003E48FD" w:rsidRPr="00A33EDB" w:rsidRDefault="003E48FD" w:rsidP="00070EA9">
            <w:pPr>
              <w:spacing w:before="120" w:line="240" w:lineRule="auto"/>
              <w:ind w:right="446"/>
              <w:jc w:val="both"/>
              <w:rPr>
                <w:rFonts w:ascii="Arial" w:hAnsi="Arial" w:cs="Arial"/>
                <w:sz w:val="24"/>
                <w:szCs w:val="24"/>
              </w:rPr>
            </w:pPr>
            <w:r w:rsidRPr="00A33EDB">
              <w:rPr>
                <w:rFonts w:ascii="Arial" w:hAnsi="Arial" w:cs="Arial"/>
                <w:sz w:val="24"/>
                <w:szCs w:val="24"/>
              </w:rPr>
              <w:t>Semi-annually</w:t>
            </w:r>
          </w:p>
        </w:tc>
      </w:tr>
      <w:tr w:rsidR="003E48FD" w:rsidRPr="00E3509D" w14:paraId="44B5C695" w14:textId="77777777" w:rsidTr="00070EA9">
        <w:trPr>
          <w:trHeight w:val="287"/>
        </w:trPr>
        <w:tc>
          <w:tcPr>
            <w:tcW w:w="9540" w:type="dxa"/>
            <w:gridSpan w:val="2"/>
            <w:tcBorders>
              <w:top w:val="single" w:sz="4" w:space="0" w:color="auto"/>
              <w:left w:val="single" w:sz="4" w:space="0" w:color="auto"/>
              <w:bottom w:val="single" w:sz="4" w:space="0" w:color="auto"/>
              <w:right w:val="single" w:sz="4" w:space="0" w:color="auto"/>
            </w:tcBorders>
            <w:shd w:val="clear" w:color="auto" w:fill="BDD6EE"/>
            <w:hideMark/>
          </w:tcPr>
          <w:p w14:paraId="7644B3E1" w14:textId="77777777" w:rsidR="003E48FD" w:rsidRPr="00E3509D" w:rsidRDefault="003E48FD" w:rsidP="00070EA9">
            <w:pPr>
              <w:spacing w:before="120" w:line="240" w:lineRule="auto"/>
              <w:ind w:right="446"/>
              <w:jc w:val="center"/>
              <w:rPr>
                <w:rFonts w:ascii="Arial" w:hAnsi="Arial" w:cs="Arial"/>
                <w:b/>
                <w:sz w:val="24"/>
                <w:szCs w:val="24"/>
              </w:rPr>
            </w:pPr>
            <w:r w:rsidRPr="00E3509D">
              <w:rPr>
                <w:rFonts w:ascii="Arial" w:hAnsi="Arial" w:cs="Arial"/>
                <w:b/>
                <w:sz w:val="24"/>
                <w:szCs w:val="24"/>
              </w:rPr>
              <w:t>Web Application Scans</w:t>
            </w:r>
          </w:p>
        </w:tc>
      </w:tr>
      <w:tr w:rsidR="003E48FD" w:rsidRPr="00E3509D" w14:paraId="16379CE2" w14:textId="77777777" w:rsidTr="00070EA9">
        <w:tc>
          <w:tcPr>
            <w:tcW w:w="4838" w:type="dxa"/>
            <w:tcBorders>
              <w:top w:val="single" w:sz="4" w:space="0" w:color="auto"/>
              <w:left w:val="single" w:sz="4" w:space="0" w:color="auto"/>
              <w:bottom w:val="single" w:sz="4" w:space="0" w:color="auto"/>
              <w:right w:val="single" w:sz="4" w:space="0" w:color="auto"/>
            </w:tcBorders>
            <w:hideMark/>
          </w:tcPr>
          <w:p w14:paraId="0C90281C" w14:textId="77777777" w:rsidR="003E48FD" w:rsidRPr="00A33EDB" w:rsidRDefault="003E48FD" w:rsidP="00070EA9">
            <w:pPr>
              <w:spacing w:before="120" w:line="240" w:lineRule="auto"/>
              <w:ind w:right="446"/>
              <w:jc w:val="both"/>
              <w:rPr>
                <w:rFonts w:ascii="Arial" w:hAnsi="Arial" w:cs="Arial"/>
                <w:bCs/>
                <w:sz w:val="24"/>
                <w:szCs w:val="24"/>
              </w:rPr>
            </w:pPr>
            <w:r w:rsidRPr="00A33EDB">
              <w:rPr>
                <w:rFonts w:ascii="Arial" w:hAnsi="Arial" w:cs="Arial"/>
                <w:bCs/>
                <w:sz w:val="24"/>
                <w:szCs w:val="24"/>
              </w:rPr>
              <w:t>High</w:t>
            </w:r>
          </w:p>
        </w:tc>
        <w:tc>
          <w:tcPr>
            <w:tcW w:w="4702" w:type="dxa"/>
            <w:tcBorders>
              <w:top w:val="single" w:sz="4" w:space="0" w:color="auto"/>
              <w:left w:val="single" w:sz="4" w:space="0" w:color="auto"/>
              <w:bottom w:val="single" w:sz="4" w:space="0" w:color="auto"/>
              <w:right w:val="single" w:sz="4" w:space="0" w:color="auto"/>
            </w:tcBorders>
            <w:hideMark/>
          </w:tcPr>
          <w:p w14:paraId="115F75D1" w14:textId="77777777" w:rsidR="003E48FD" w:rsidRPr="00A33EDB" w:rsidRDefault="003E48FD" w:rsidP="00070EA9">
            <w:pPr>
              <w:spacing w:before="120" w:line="240" w:lineRule="auto"/>
              <w:ind w:right="446"/>
              <w:jc w:val="both"/>
              <w:rPr>
                <w:rFonts w:ascii="Arial" w:hAnsi="Arial" w:cs="Arial"/>
                <w:sz w:val="24"/>
                <w:szCs w:val="24"/>
              </w:rPr>
            </w:pPr>
            <w:r w:rsidRPr="00A33EDB">
              <w:rPr>
                <w:rFonts w:ascii="Arial" w:hAnsi="Arial" w:cs="Arial"/>
                <w:sz w:val="24"/>
                <w:szCs w:val="24"/>
              </w:rPr>
              <w:t>Quarterly or after significant change</w:t>
            </w:r>
          </w:p>
        </w:tc>
      </w:tr>
      <w:tr w:rsidR="003E48FD" w:rsidRPr="00E3509D" w14:paraId="1E965085" w14:textId="77777777" w:rsidTr="00070EA9">
        <w:tc>
          <w:tcPr>
            <w:tcW w:w="4838" w:type="dxa"/>
            <w:tcBorders>
              <w:top w:val="single" w:sz="4" w:space="0" w:color="auto"/>
              <w:left w:val="single" w:sz="4" w:space="0" w:color="auto"/>
              <w:bottom w:val="single" w:sz="4" w:space="0" w:color="auto"/>
              <w:right w:val="single" w:sz="4" w:space="0" w:color="auto"/>
            </w:tcBorders>
            <w:hideMark/>
          </w:tcPr>
          <w:p w14:paraId="6E8A484A" w14:textId="77777777" w:rsidR="003E48FD" w:rsidRPr="00A33EDB" w:rsidRDefault="003E48FD" w:rsidP="00070EA9">
            <w:pPr>
              <w:spacing w:before="120" w:line="240" w:lineRule="auto"/>
              <w:ind w:right="446"/>
              <w:jc w:val="both"/>
              <w:rPr>
                <w:rFonts w:ascii="Arial" w:hAnsi="Arial" w:cs="Arial"/>
                <w:bCs/>
                <w:sz w:val="24"/>
                <w:szCs w:val="24"/>
              </w:rPr>
            </w:pPr>
            <w:r w:rsidRPr="00A33EDB">
              <w:rPr>
                <w:rFonts w:ascii="Arial" w:hAnsi="Arial" w:cs="Arial"/>
                <w:bCs/>
                <w:sz w:val="24"/>
                <w:szCs w:val="24"/>
              </w:rPr>
              <w:t>Medium</w:t>
            </w:r>
          </w:p>
        </w:tc>
        <w:tc>
          <w:tcPr>
            <w:tcW w:w="4702" w:type="dxa"/>
            <w:tcBorders>
              <w:top w:val="single" w:sz="4" w:space="0" w:color="auto"/>
              <w:left w:val="single" w:sz="4" w:space="0" w:color="auto"/>
              <w:bottom w:val="single" w:sz="4" w:space="0" w:color="auto"/>
              <w:right w:val="single" w:sz="4" w:space="0" w:color="auto"/>
            </w:tcBorders>
            <w:hideMark/>
          </w:tcPr>
          <w:p w14:paraId="4A0435F2" w14:textId="77777777" w:rsidR="003E48FD" w:rsidRPr="00A33EDB" w:rsidRDefault="003E48FD" w:rsidP="00070EA9">
            <w:pPr>
              <w:spacing w:before="120" w:line="240" w:lineRule="auto"/>
              <w:ind w:right="446"/>
              <w:jc w:val="both"/>
              <w:rPr>
                <w:rFonts w:ascii="Arial" w:hAnsi="Arial" w:cs="Arial"/>
                <w:sz w:val="24"/>
                <w:szCs w:val="24"/>
              </w:rPr>
            </w:pPr>
            <w:r w:rsidRPr="00A33EDB">
              <w:rPr>
                <w:rFonts w:ascii="Arial" w:hAnsi="Arial" w:cs="Arial"/>
                <w:sz w:val="24"/>
                <w:szCs w:val="24"/>
              </w:rPr>
              <w:t>Semi-annually</w:t>
            </w:r>
          </w:p>
        </w:tc>
      </w:tr>
      <w:tr w:rsidR="003E48FD" w:rsidRPr="00E3509D" w14:paraId="1B9356D9" w14:textId="77777777" w:rsidTr="00070EA9">
        <w:tc>
          <w:tcPr>
            <w:tcW w:w="4838" w:type="dxa"/>
            <w:tcBorders>
              <w:top w:val="single" w:sz="4" w:space="0" w:color="auto"/>
              <w:left w:val="single" w:sz="4" w:space="0" w:color="auto"/>
              <w:bottom w:val="single" w:sz="4" w:space="0" w:color="auto"/>
              <w:right w:val="single" w:sz="4" w:space="0" w:color="auto"/>
            </w:tcBorders>
            <w:hideMark/>
          </w:tcPr>
          <w:p w14:paraId="079BBC5C" w14:textId="77777777" w:rsidR="003E48FD" w:rsidRPr="00A33EDB" w:rsidRDefault="003E48FD" w:rsidP="00070EA9">
            <w:pPr>
              <w:spacing w:before="120" w:line="240" w:lineRule="auto"/>
              <w:ind w:right="446"/>
              <w:jc w:val="both"/>
              <w:rPr>
                <w:rFonts w:ascii="Arial" w:hAnsi="Arial" w:cs="Arial"/>
                <w:bCs/>
                <w:sz w:val="24"/>
                <w:szCs w:val="24"/>
              </w:rPr>
            </w:pPr>
            <w:r w:rsidRPr="00A33EDB">
              <w:rPr>
                <w:rFonts w:ascii="Arial" w:hAnsi="Arial" w:cs="Arial"/>
                <w:bCs/>
                <w:sz w:val="24"/>
                <w:szCs w:val="24"/>
              </w:rPr>
              <w:t>Low</w:t>
            </w:r>
          </w:p>
        </w:tc>
        <w:tc>
          <w:tcPr>
            <w:tcW w:w="4702" w:type="dxa"/>
            <w:tcBorders>
              <w:top w:val="single" w:sz="4" w:space="0" w:color="auto"/>
              <w:left w:val="single" w:sz="4" w:space="0" w:color="auto"/>
              <w:bottom w:val="single" w:sz="4" w:space="0" w:color="auto"/>
              <w:right w:val="single" w:sz="4" w:space="0" w:color="auto"/>
            </w:tcBorders>
            <w:hideMark/>
          </w:tcPr>
          <w:p w14:paraId="7C95D82E" w14:textId="77777777" w:rsidR="003E48FD" w:rsidRPr="00A33EDB" w:rsidRDefault="003E48FD" w:rsidP="00070EA9">
            <w:pPr>
              <w:spacing w:before="120" w:line="240" w:lineRule="auto"/>
              <w:ind w:right="446"/>
              <w:jc w:val="both"/>
              <w:rPr>
                <w:rFonts w:ascii="Arial" w:hAnsi="Arial" w:cs="Arial"/>
                <w:sz w:val="24"/>
                <w:szCs w:val="24"/>
              </w:rPr>
            </w:pPr>
            <w:r w:rsidRPr="00A33EDB">
              <w:rPr>
                <w:rFonts w:ascii="Arial" w:hAnsi="Arial" w:cs="Arial"/>
                <w:sz w:val="24"/>
                <w:szCs w:val="24"/>
              </w:rPr>
              <w:t>Annually</w:t>
            </w:r>
          </w:p>
        </w:tc>
      </w:tr>
    </w:tbl>
    <w:p w14:paraId="7E77794D" w14:textId="77777777" w:rsidR="003E48FD" w:rsidRDefault="003E48FD" w:rsidP="003E48FD">
      <w:pPr>
        <w:pStyle w:val="Heading3"/>
        <w:spacing w:before="0" w:after="200" w:line="240" w:lineRule="auto"/>
        <w:ind w:left="720" w:right="446"/>
        <w:rPr>
          <w:rFonts w:ascii="Arial" w:hAnsi="Arial" w:cs="Arial"/>
          <w:color w:val="000000" w:themeColor="text1"/>
          <w:sz w:val="24"/>
          <w:szCs w:val="24"/>
        </w:rPr>
      </w:pPr>
    </w:p>
    <w:p w14:paraId="64AB6C1A" w14:textId="1FB53FF7" w:rsidR="003E48FD" w:rsidRDefault="003E48FD" w:rsidP="003E48FD">
      <w:pPr>
        <w:pStyle w:val="InfoSections"/>
      </w:pPr>
      <w:r>
        <w:t>Remediation</w:t>
      </w:r>
    </w:p>
    <w:p w14:paraId="07AB5601" w14:textId="740F44CB" w:rsidR="003E48FD" w:rsidRDefault="003E48FD" w:rsidP="003E48FD">
      <w:pPr>
        <w:pStyle w:val="ParagraphSections"/>
      </w:pPr>
      <w:r w:rsidRPr="003E48FD">
        <w:lastRenderedPageBreak/>
        <w:t>Vulnerabilities discovered during scans must be remediated based on risk rating (see Table 2) and vulnerability severity identified by the scanning tool as per the table below.</w:t>
      </w:r>
    </w:p>
    <w:p w14:paraId="00D172E6" w14:textId="77777777" w:rsidR="003E48FD" w:rsidRPr="00A33EDB" w:rsidRDefault="003E48FD" w:rsidP="003E48FD">
      <w:pPr>
        <w:keepNext/>
        <w:keepLines/>
        <w:spacing w:before="120" w:line="240" w:lineRule="auto"/>
        <w:ind w:right="446"/>
        <w:jc w:val="both"/>
        <w:rPr>
          <w:rFonts w:ascii="Arial" w:hAnsi="Arial" w:cs="Arial"/>
          <w:sz w:val="24"/>
          <w:szCs w:val="24"/>
        </w:rPr>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2767"/>
        <w:gridCol w:w="2453"/>
        <w:gridCol w:w="2520"/>
      </w:tblGrid>
      <w:tr w:rsidR="003E48FD" w:rsidRPr="00E3509D" w14:paraId="4F4EC428" w14:textId="77777777" w:rsidTr="00070EA9">
        <w:tc>
          <w:tcPr>
            <w:tcW w:w="9563"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195DA" w14:textId="77777777" w:rsidR="003E48FD" w:rsidRPr="00E3509D" w:rsidRDefault="003E48FD" w:rsidP="00070EA9">
            <w:pPr>
              <w:spacing w:before="120" w:line="240" w:lineRule="auto"/>
              <w:ind w:right="446"/>
              <w:jc w:val="center"/>
              <w:rPr>
                <w:rFonts w:ascii="Arial" w:hAnsi="Arial" w:cs="Arial"/>
                <w:b/>
                <w:bCs/>
                <w:sz w:val="24"/>
                <w:szCs w:val="24"/>
              </w:rPr>
            </w:pPr>
            <w:r w:rsidRPr="00E3509D">
              <w:rPr>
                <w:rFonts w:ascii="Arial" w:hAnsi="Arial" w:cs="Arial"/>
                <w:b/>
                <w:bCs/>
                <w:sz w:val="24"/>
                <w:szCs w:val="24"/>
              </w:rPr>
              <w:t>TABLE 4: REMEDIATION TIMEFRAMES</w:t>
            </w:r>
          </w:p>
        </w:tc>
      </w:tr>
      <w:tr w:rsidR="003E48FD" w:rsidRPr="00E3509D" w14:paraId="0C509058" w14:textId="77777777" w:rsidTr="00070EA9">
        <w:tc>
          <w:tcPr>
            <w:tcW w:w="1823" w:type="dxa"/>
            <w:vMerge w:val="restart"/>
            <w:tcBorders>
              <w:top w:val="single" w:sz="4" w:space="0" w:color="auto"/>
              <w:left w:val="single" w:sz="4" w:space="0" w:color="auto"/>
              <w:bottom w:val="single" w:sz="4" w:space="0" w:color="auto"/>
              <w:right w:val="single" w:sz="4" w:space="0" w:color="auto"/>
            </w:tcBorders>
            <w:shd w:val="clear" w:color="auto" w:fill="9CC2E5"/>
            <w:vAlign w:val="center"/>
            <w:hideMark/>
          </w:tcPr>
          <w:p w14:paraId="1BC81092" w14:textId="77777777" w:rsidR="003E48FD" w:rsidRPr="00E3509D" w:rsidRDefault="003E48FD" w:rsidP="00070EA9">
            <w:pPr>
              <w:spacing w:before="120" w:line="240" w:lineRule="auto"/>
              <w:ind w:right="446"/>
              <w:jc w:val="center"/>
              <w:rPr>
                <w:rFonts w:ascii="Arial" w:hAnsi="Arial" w:cs="Arial"/>
                <w:b/>
                <w:bCs/>
                <w:sz w:val="24"/>
                <w:szCs w:val="24"/>
              </w:rPr>
            </w:pPr>
            <w:r w:rsidRPr="00E3509D">
              <w:rPr>
                <w:rFonts w:ascii="Arial" w:hAnsi="Arial" w:cs="Arial"/>
                <w:b/>
                <w:bCs/>
                <w:sz w:val="24"/>
                <w:szCs w:val="24"/>
              </w:rPr>
              <w:t xml:space="preserve">Risk Rating (from </w:t>
            </w:r>
            <w:hyperlink w:anchor="Table2" w:history="1">
              <w:r w:rsidRPr="00E3509D">
                <w:rPr>
                  <w:rStyle w:val="Hyperlink"/>
                  <w:rFonts w:ascii="Arial" w:hAnsi="Arial" w:cs="Arial"/>
                  <w:b/>
                  <w:bCs/>
                  <w:sz w:val="24"/>
                  <w:szCs w:val="24"/>
                </w:rPr>
                <w:t>Table 2</w:t>
              </w:r>
            </w:hyperlink>
            <w:r w:rsidRPr="00E3509D">
              <w:rPr>
                <w:rFonts w:ascii="Arial" w:hAnsi="Arial" w:cs="Arial"/>
                <w:b/>
                <w:bCs/>
                <w:sz w:val="24"/>
                <w:szCs w:val="24"/>
              </w:rPr>
              <w:t>)</w:t>
            </w:r>
          </w:p>
        </w:tc>
        <w:tc>
          <w:tcPr>
            <w:tcW w:w="7740" w:type="dxa"/>
            <w:gridSpan w:val="3"/>
            <w:tcBorders>
              <w:top w:val="single" w:sz="4" w:space="0" w:color="auto"/>
              <w:left w:val="single" w:sz="4" w:space="0" w:color="auto"/>
              <w:bottom w:val="single" w:sz="4" w:space="0" w:color="auto"/>
              <w:right w:val="single" w:sz="4" w:space="0" w:color="auto"/>
            </w:tcBorders>
            <w:shd w:val="clear" w:color="auto" w:fill="9CC2E5"/>
            <w:hideMark/>
          </w:tcPr>
          <w:p w14:paraId="653062F0" w14:textId="77777777" w:rsidR="003E48FD" w:rsidRPr="00E3509D" w:rsidRDefault="003E48FD" w:rsidP="00070EA9">
            <w:pPr>
              <w:spacing w:before="120" w:line="240" w:lineRule="auto"/>
              <w:ind w:right="446"/>
              <w:jc w:val="center"/>
              <w:rPr>
                <w:rFonts w:ascii="Arial" w:hAnsi="Arial" w:cs="Arial"/>
                <w:b/>
                <w:bCs/>
                <w:sz w:val="24"/>
                <w:szCs w:val="24"/>
              </w:rPr>
            </w:pPr>
            <w:r w:rsidRPr="00E3509D">
              <w:rPr>
                <w:rFonts w:ascii="Arial" w:hAnsi="Arial" w:cs="Arial"/>
                <w:b/>
                <w:bCs/>
                <w:sz w:val="24"/>
                <w:szCs w:val="24"/>
              </w:rPr>
              <w:t>Vulnerability Severity</w:t>
            </w:r>
          </w:p>
        </w:tc>
      </w:tr>
      <w:tr w:rsidR="003E48FD" w:rsidRPr="00E3509D" w14:paraId="2F1855E5" w14:textId="77777777" w:rsidTr="00070EA9">
        <w:tc>
          <w:tcPr>
            <w:tcW w:w="1823" w:type="dxa"/>
            <w:vMerge/>
            <w:tcBorders>
              <w:top w:val="single" w:sz="4" w:space="0" w:color="auto"/>
              <w:left w:val="single" w:sz="4" w:space="0" w:color="auto"/>
              <w:bottom w:val="single" w:sz="4" w:space="0" w:color="auto"/>
              <w:right w:val="single" w:sz="4" w:space="0" w:color="auto"/>
            </w:tcBorders>
            <w:vAlign w:val="center"/>
            <w:hideMark/>
          </w:tcPr>
          <w:p w14:paraId="09BE3CD0" w14:textId="77777777" w:rsidR="003E48FD" w:rsidRPr="00E3509D" w:rsidRDefault="003E48FD" w:rsidP="00070EA9">
            <w:pPr>
              <w:spacing w:before="120" w:line="240" w:lineRule="auto"/>
              <w:ind w:right="446"/>
              <w:jc w:val="both"/>
              <w:rPr>
                <w:rFonts w:ascii="Arial" w:hAnsi="Arial" w:cs="Arial"/>
                <w:b/>
                <w:bCs/>
                <w:sz w:val="24"/>
                <w:szCs w:val="24"/>
              </w:rPr>
            </w:pPr>
          </w:p>
        </w:tc>
        <w:tc>
          <w:tcPr>
            <w:tcW w:w="2767" w:type="dxa"/>
            <w:tcBorders>
              <w:top w:val="single" w:sz="4" w:space="0" w:color="auto"/>
              <w:left w:val="single" w:sz="4" w:space="0" w:color="auto"/>
              <w:bottom w:val="single" w:sz="4" w:space="0" w:color="auto"/>
              <w:right w:val="single" w:sz="4" w:space="0" w:color="auto"/>
            </w:tcBorders>
            <w:hideMark/>
          </w:tcPr>
          <w:p w14:paraId="622FBDEB" w14:textId="77777777" w:rsidR="003E48FD" w:rsidRPr="00A33EDB" w:rsidRDefault="003E48FD" w:rsidP="00070EA9">
            <w:pPr>
              <w:spacing w:before="120" w:line="240" w:lineRule="auto"/>
              <w:ind w:right="446"/>
              <w:rPr>
                <w:rFonts w:ascii="Arial" w:hAnsi="Arial" w:cs="Arial"/>
                <w:sz w:val="24"/>
                <w:szCs w:val="24"/>
              </w:rPr>
            </w:pPr>
            <w:r w:rsidRPr="00A33EDB">
              <w:rPr>
                <w:rFonts w:ascii="Arial" w:hAnsi="Arial" w:cs="Arial"/>
                <w:sz w:val="24"/>
                <w:szCs w:val="24"/>
              </w:rPr>
              <w:t>Low</w:t>
            </w:r>
            <w:r>
              <w:rPr>
                <w:rFonts w:ascii="Arial" w:hAnsi="Arial" w:cs="Arial"/>
                <w:sz w:val="24"/>
                <w:szCs w:val="24"/>
              </w:rPr>
              <w:t xml:space="preserve"> or </w:t>
            </w:r>
            <w:proofErr w:type="gramStart"/>
            <w:r>
              <w:rPr>
                <w:rFonts w:ascii="Arial" w:hAnsi="Arial" w:cs="Arial"/>
                <w:sz w:val="24"/>
                <w:szCs w:val="24"/>
              </w:rPr>
              <w:t>Below</w:t>
            </w:r>
            <w:proofErr w:type="gramEnd"/>
          </w:p>
        </w:tc>
        <w:tc>
          <w:tcPr>
            <w:tcW w:w="2453" w:type="dxa"/>
            <w:tcBorders>
              <w:top w:val="single" w:sz="4" w:space="0" w:color="auto"/>
              <w:left w:val="single" w:sz="4" w:space="0" w:color="auto"/>
              <w:bottom w:val="single" w:sz="4" w:space="0" w:color="auto"/>
              <w:right w:val="single" w:sz="4" w:space="0" w:color="auto"/>
            </w:tcBorders>
            <w:hideMark/>
          </w:tcPr>
          <w:p w14:paraId="5C95CFB7" w14:textId="77777777" w:rsidR="003E48FD" w:rsidRPr="00A33EDB" w:rsidRDefault="003E48FD" w:rsidP="00070EA9">
            <w:pPr>
              <w:spacing w:before="120" w:line="240" w:lineRule="auto"/>
              <w:ind w:right="446"/>
              <w:rPr>
                <w:rFonts w:ascii="Arial" w:hAnsi="Arial" w:cs="Arial"/>
                <w:sz w:val="24"/>
                <w:szCs w:val="24"/>
              </w:rPr>
            </w:pPr>
            <w:r>
              <w:rPr>
                <w:rFonts w:ascii="Arial" w:hAnsi="Arial" w:cs="Arial"/>
                <w:sz w:val="24"/>
                <w:szCs w:val="24"/>
              </w:rPr>
              <w:t>Above Low to Below High</w:t>
            </w:r>
          </w:p>
        </w:tc>
        <w:tc>
          <w:tcPr>
            <w:tcW w:w="2520" w:type="dxa"/>
            <w:tcBorders>
              <w:top w:val="single" w:sz="4" w:space="0" w:color="auto"/>
              <w:left w:val="single" w:sz="4" w:space="0" w:color="auto"/>
              <w:bottom w:val="single" w:sz="4" w:space="0" w:color="auto"/>
              <w:right w:val="single" w:sz="4" w:space="0" w:color="auto"/>
            </w:tcBorders>
            <w:hideMark/>
          </w:tcPr>
          <w:p w14:paraId="7A4E762B" w14:textId="77777777" w:rsidR="003E48FD" w:rsidRPr="00A33EDB" w:rsidRDefault="003E48FD" w:rsidP="00070EA9">
            <w:pPr>
              <w:spacing w:before="120" w:line="240" w:lineRule="auto"/>
              <w:ind w:right="446"/>
              <w:rPr>
                <w:rFonts w:ascii="Arial" w:hAnsi="Arial" w:cs="Arial"/>
                <w:sz w:val="24"/>
                <w:szCs w:val="24"/>
              </w:rPr>
            </w:pPr>
            <w:r>
              <w:rPr>
                <w:rFonts w:ascii="Arial" w:hAnsi="Arial" w:cs="Arial"/>
                <w:sz w:val="24"/>
                <w:szCs w:val="24"/>
              </w:rPr>
              <w:t xml:space="preserve">High or </w:t>
            </w:r>
            <w:proofErr w:type="gramStart"/>
            <w:r>
              <w:rPr>
                <w:rFonts w:ascii="Arial" w:hAnsi="Arial" w:cs="Arial"/>
                <w:sz w:val="24"/>
                <w:szCs w:val="24"/>
              </w:rPr>
              <w:t>Above</w:t>
            </w:r>
            <w:proofErr w:type="gramEnd"/>
          </w:p>
        </w:tc>
      </w:tr>
      <w:tr w:rsidR="003E48FD" w:rsidRPr="00E3509D" w14:paraId="0E41FAC5" w14:textId="77777777" w:rsidTr="00070EA9">
        <w:tc>
          <w:tcPr>
            <w:tcW w:w="1823" w:type="dxa"/>
            <w:tcBorders>
              <w:top w:val="single" w:sz="4" w:space="0" w:color="auto"/>
              <w:left w:val="single" w:sz="4" w:space="0" w:color="auto"/>
              <w:bottom w:val="single" w:sz="4" w:space="0" w:color="auto"/>
              <w:right w:val="single" w:sz="4" w:space="0" w:color="auto"/>
            </w:tcBorders>
            <w:hideMark/>
          </w:tcPr>
          <w:p w14:paraId="53A3F8D9" w14:textId="77777777" w:rsidR="003E48FD" w:rsidRPr="00E3509D" w:rsidRDefault="003E48FD" w:rsidP="00070EA9">
            <w:pPr>
              <w:spacing w:before="120" w:line="240" w:lineRule="auto"/>
              <w:ind w:right="446"/>
              <w:jc w:val="center"/>
              <w:rPr>
                <w:rFonts w:ascii="Arial" w:hAnsi="Arial" w:cs="Arial"/>
                <w:b/>
                <w:bCs/>
                <w:sz w:val="24"/>
                <w:szCs w:val="24"/>
              </w:rPr>
            </w:pPr>
            <w:r w:rsidRPr="00E3509D">
              <w:rPr>
                <w:rFonts w:ascii="Arial" w:hAnsi="Arial" w:cs="Arial"/>
                <w:b/>
                <w:bCs/>
                <w:sz w:val="24"/>
                <w:szCs w:val="24"/>
              </w:rPr>
              <w:t>High</w:t>
            </w:r>
          </w:p>
        </w:tc>
        <w:tc>
          <w:tcPr>
            <w:tcW w:w="2767" w:type="dxa"/>
            <w:tcBorders>
              <w:top w:val="single" w:sz="4" w:space="0" w:color="auto"/>
              <w:left w:val="single" w:sz="4" w:space="0" w:color="auto"/>
              <w:bottom w:val="single" w:sz="4" w:space="0" w:color="auto"/>
              <w:right w:val="single" w:sz="4" w:space="0" w:color="auto"/>
            </w:tcBorders>
            <w:hideMark/>
          </w:tcPr>
          <w:p w14:paraId="548E81AF" w14:textId="77777777" w:rsidR="003E48FD" w:rsidRPr="00A33EDB" w:rsidRDefault="003E48FD" w:rsidP="00070EA9">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7A120324" w14:textId="77777777" w:rsidR="003E48FD" w:rsidRPr="00A33EDB" w:rsidRDefault="003E48FD" w:rsidP="00070EA9">
            <w:pPr>
              <w:spacing w:before="120" w:line="240" w:lineRule="auto"/>
              <w:ind w:right="446"/>
              <w:rPr>
                <w:rFonts w:ascii="Arial" w:hAnsi="Arial" w:cs="Arial"/>
                <w:sz w:val="24"/>
                <w:szCs w:val="24"/>
              </w:rPr>
            </w:pPr>
            <w:r w:rsidRPr="00A33EDB">
              <w:rPr>
                <w:rFonts w:ascii="Arial" w:hAnsi="Arial" w:cs="Arial"/>
                <w:sz w:val="24"/>
                <w:szCs w:val="24"/>
              </w:rPr>
              <w:t xml:space="preserve">Action Plan </w:t>
            </w:r>
            <w:proofErr w:type="gramStart"/>
            <w:r w:rsidRPr="00A33EDB">
              <w:rPr>
                <w:rFonts w:ascii="Arial" w:hAnsi="Arial" w:cs="Arial"/>
                <w:sz w:val="24"/>
                <w:szCs w:val="24"/>
              </w:rPr>
              <w:t>in</w:t>
            </w:r>
            <w:proofErr w:type="gramEnd"/>
            <w:r w:rsidRPr="00A33EDB">
              <w:rPr>
                <w:rFonts w:ascii="Arial" w:hAnsi="Arial" w:cs="Arial"/>
                <w:sz w:val="24"/>
                <w:szCs w:val="24"/>
              </w:rPr>
              <w:t xml:space="preserve"> </w:t>
            </w:r>
            <w:r>
              <w:rPr>
                <w:rFonts w:ascii="Arial" w:hAnsi="Arial" w:cs="Arial"/>
                <w:sz w:val="24"/>
                <w:szCs w:val="24"/>
              </w:rPr>
              <w:t>2</w:t>
            </w:r>
            <w:r w:rsidRPr="00A33EDB">
              <w:rPr>
                <w:rFonts w:ascii="Arial" w:hAnsi="Arial" w:cs="Arial"/>
                <w:sz w:val="24"/>
                <w:szCs w:val="24"/>
              </w:rPr>
              <w:t xml:space="preserve"> Week</w:t>
            </w:r>
            <w:r>
              <w:rPr>
                <w:rFonts w:ascii="Arial" w:hAnsi="Arial" w:cs="Arial"/>
                <w:sz w:val="24"/>
                <w:szCs w:val="24"/>
              </w:rPr>
              <w:t>s</w:t>
            </w:r>
            <w:r w:rsidRPr="00A33EDB">
              <w:rPr>
                <w:rFonts w:ascii="Arial" w:hAnsi="Arial" w:cs="Arial"/>
                <w:sz w:val="24"/>
                <w:szCs w:val="24"/>
              </w:rPr>
              <w:t xml:space="preserve">, Resolved in </w:t>
            </w:r>
            <w:r>
              <w:rPr>
                <w:rFonts w:ascii="Arial" w:hAnsi="Arial" w:cs="Arial"/>
                <w:sz w:val="24"/>
                <w:szCs w:val="24"/>
              </w:rPr>
              <w:t>6</w:t>
            </w:r>
            <w:r w:rsidRPr="00A33EDB">
              <w:rPr>
                <w:rFonts w:ascii="Arial" w:hAnsi="Arial" w:cs="Arial"/>
                <w:sz w:val="24"/>
                <w:szCs w:val="24"/>
              </w:rPr>
              <w:t xml:space="preserve"> Month</w:t>
            </w:r>
            <w:r>
              <w:rPr>
                <w:rFonts w:ascii="Arial" w:hAnsi="Arial" w:cs="Arial"/>
                <w:sz w:val="24"/>
                <w:szCs w:val="24"/>
              </w:rPr>
              <w:t>s</w:t>
            </w:r>
          </w:p>
        </w:tc>
        <w:tc>
          <w:tcPr>
            <w:tcW w:w="2520" w:type="dxa"/>
            <w:tcBorders>
              <w:top w:val="single" w:sz="4" w:space="0" w:color="auto"/>
              <w:left w:val="single" w:sz="4" w:space="0" w:color="auto"/>
              <w:bottom w:val="single" w:sz="4" w:space="0" w:color="auto"/>
              <w:right w:val="single" w:sz="4" w:space="0" w:color="auto"/>
            </w:tcBorders>
            <w:hideMark/>
          </w:tcPr>
          <w:p w14:paraId="200F83DA" w14:textId="77777777" w:rsidR="003E48FD" w:rsidRPr="00A33EDB" w:rsidRDefault="003E48FD" w:rsidP="00070EA9">
            <w:pPr>
              <w:spacing w:before="120" w:line="240" w:lineRule="auto"/>
              <w:ind w:right="446"/>
              <w:rPr>
                <w:rFonts w:ascii="Arial" w:hAnsi="Arial" w:cs="Arial"/>
                <w:sz w:val="24"/>
                <w:szCs w:val="24"/>
              </w:rPr>
            </w:pPr>
            <w:r w:rsidRPr="00A33EDB">
              <w:rPr>
                <w:rFonts w:ascii="Arial" w:hAnsi="Arial" w:cs="Arial"/>
                <w:sz w:val="24"/>
                <w:szCs w:val="24"/>
              </w:rPr>
              <w:t xml:space="preserve">Action Plan in 1 </w:t>
            </w:r>
            <w:r>
              <w:rPr>
                <w:rFonts w:ascii="Arial" w:hAnsi="Arial" w:cs="Arial"/>
                <w:sz w:val="24"/>
                <w:szCs w:val="24"/>
              </w:rPr>
              <w:t>Week</w:t>
            </w:r>
            <w:r w:rsidRPr="00A33EDB">
              <w:rPr>
                <w:rFonts w:ascii="Arial" w:hAnsi="Arial" w:cs="Arial"/>
                <w:sz w:val="24"/>
                <w:szCs w:val="24"/>
              </w:rPr>
              <w:t xml:space="preserve">, Resolved in 1 </w:t>
            </w:r>
            <w:r>
              <w:rPr>
                <w:rFonts w:ascii="Arial" w:hAnsi="Arial" w:cs="Arial"/>
                <w:sz w:val="24"/>
                <w:szCs w:val="24"/>
              </w:rPr>
              <w:t>Month</w:t>
            </w:r>
          </w:p>
        </w:tc>
      </w:tr>
      <w:tr w:rsidR="003E48FD" w:rsidRPr="00E3509D" w14:paraId="62E87AE0" w14:textId="77777777" w:rsidTr="00070EA9">
        <w:tc>
          <w:tcPr>
            <w:tcW w:w="1823" w:type="dxa"/>
            <w:tcBorders>
              <w:top w:val="single" w:sz="4" w:space="0" w:color="auto"/>
              <w:left w:val="single" w:sz="4" w:space="0" w:color="auto"/>
              <w:bottom w:val="single" w:sz="4" w:space="0" w:color="auto"/>
              <w:right w:val="single" w:sz="4" w:space="0" w:color="auto"/>
            </w:tcBorders>
            <w:hideMark/>
          </w:tcPr>
          <w:p w14:paraId="143E105D" w14:textId="77777777" w:rsidR="003E48FD" w:rsidRPr="00E3509D" w:rsidRDefault="003E48FD" w:rsidP="00070EA9">
            <w:pPr>
              <w:spacing w:before="120" w:line="240" w:lineRule="auto"/>
              <w:ind w:right="446"/>
              <w:jc w:val="center"/>
              <w:rPr>
                <w:rFonts w:ascii="Arial" w:hAnsi="Arial" w:cs="Arial"/>
                <w:b/>
                <w:bCs/>
                <w:sz w:val="24"/>
                <w:szCs w:val="24"/>
              </w:rPr>
            </w:pPr>
            <w:r w:rsidRPr="00E3509D">
              <w:rPr>
                <w:rFonts w:ascii="Arial" w:hAnsi="Arial" w:cs="Arial"/>
                <w:b/>
                <w:bCs/>
                <w:sz w:val="24"/>
                <w:szCs w:val="24"/>
              </w:rPr>
              <w:t>Medium</w:t>
            </w:r>
          </w:p>
        </w:tc>
        <w:tc>
          <w:tcPr>
            <w:tcW w:w="2767" w:type="dxa"/>
            <w:tcBorders>
              <w:top w:val="single" w:sz="4" w:space="0" w:color="auto"/>
              <w:left w:val="single" w:sz="4" w:space="0" w:color="auto"/>
              <w:bottom w:val="single" w:sz="4" w:space="0" w:color="auto"/>
              <w:right w:val="single" w:sz="4" w:space="0" w:color="auto"/>
            </w:tcBorders>
            <w:hideMark/>
          </w:tcPr>
          <w:p w14:paraId="2C068D7D" w14:textId="77777777" w:rsidR="003E48FD" w:rsidRPr="00A33EDB" w:rsidRDefault="003E48FD" w:rsidP="00070EA9">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126EB5C0" w14:textId="77777777" w:rsidR="003E48FD" w:rsidRPr="00A33EDB" w:rsidRDefault="003E48FD" w:rsidP="00070EA9">
            <w:pPr>
              <w:spacing w:before="120" w:line="240" w:lineRule="auto"/>
              <w:ind w:right="446"/>
              <w:rPr>
                <w:rFonts w:ascii="Arial" w:hAnsi="Arial" w:cs="Arial"/>
                <w:sz w:val="24"/>
                <w:szCs w:val="24"/>
              </w:rPr>
            </w:pPr>
            <w:r w:rsidRPr="00A33EDB">
              <w:rPr>
                <w:rFonts w:ascii="Arial" w:hAnsi="Arial" w:cs="Arial"/>
                <w:sz w:val="24"/>
                <w:szCs w:val="24"/>
              </w:rPr>
              <w:t xml:space="preserve">Action Plan in </w:t>
            </w:r>
            <w:r>
              <w:rPr>
                <w:rFonts w:ascii="Arial" w:hAnsi="Arial" w:cs="Arial"/>
                <w:sz w:val="24"/>
                <w:szCs w:val="24"/>
              </w:rPr>
              <w:t>3</w:t>
            </w:r>
            <w:r w:rsidRPr="00A33EDB">
              <w:rPr>
                <w:rFonts w:ascii="Arial" w:hAnsi="Arial" w:cs="Arial"/>
                <w:sz w:val="24"/>
                <w:szCs w:val="24"/>
              </w:rPr>
              <w:t xml:space="preserve"> </w:t>
            </w:r>
            <w:proofErr w:type="gramStart"/>
            <w:r w:rsidRPr="00A33EDB">
              <w:rPr>
                <w:rFonts w:ascii="Arial" w:hAnsi="Arial" w:cs="Arial"/>
                <w:sz w:val="24"/>
                <w:szCs w:val="24"/>
              </w:rPr>
              <w:t>Weeks,</w:t>
            </w:r>
            <w:proofErr w:type="gramEnd"/>
            <w:r w:rsidRPr="00A33EDB">
              <w:rPr>
                <w:rFonts w:ascii="Arial" w:hAnsi="Arial" w:cs="Arial"/>
                <w:sz w:val="24"/>
                <w:szCs w:val="24"/>
              </w:rPr>
              <w:t xml:space="preserve"> Resolved in </w:t>
            </w:r>
            <w:r>
              <w:rPr>
                <w:rFonts w:ascii="Arial" w:hAnsi="Arial" w:cs="Arial"/>
                <w:sz w:val="24"/>
                <w:szCs w:val="24"/>
              </w:rPr>
              <w:t>1 year</w:t>
            </w:r>
          </w:p>
        </w:tc>
        <w:tc>
          <w:tcPr>
            <w:tcW w:w="2520" w:type="dxa"/>
            <w:tcBorders>
              <w:top w:val="single" w:sz="4" w:space="0" w:color="auto"/>
              <w:left w:val="single" w:sz="4" w:space="0" w:color="auto"/>
              <w:bottom w:val="single" w:sz="4" w:space="0" w:color="auto"/>
              <w:right w:val="single" w:sz="4" w:space="0" w:color="auto"/>
            </w:tcBorders>
            <w:hideMark/>
          </w:tcPr>
          <w:p w14:paraId="3C3F4936" w14:textId="77777777" w:rsidR="003E48FD" w:rsidRPr="00A33EDB" w:rsidRDefault="003E48FD" w:rsidP="00070EA9">
            <w:pPr>
              <w:spacing w:before="120" w:line="240" w:lineRule="auto"/>
              <w:ind w:right="446"/>
              <w:rPr>
                <w:rFonts w:ascii="Arial" w:hAnsi="Arial" w:cs="Arial"/>
                <w:sz w:val="24"/>
                <w:szCs w:val="24"/>
              </w:rPr>
            </w:pPr>
            <w:r w:rsidRPr="00A33EDB">
              <w:rPr>
                <w:rFonts w:ascii="Arial" w:hAnsi="Arial" w:cs="Arial"/>
                <w:sz w:val="24"/>
                <w:szCs w:val="24"/>
              </w:rPr>
              <w:t xml:space="preserve"> Action Plan </w:t>
            </w:r>
            <w:proofErr w:type="gramStart"/>
            <w:r w:rsidRPr="00A33EDB">
              <w:rPr>
                <w:rFonts w:ascii="Arial" w:hAnsi="Arial" w:cs="Arial"/>
                <w:sz w:val="24"/>
                <w:szCs w:val="24"/>
              </w:rPr>
              <w:t>in</w:t>
            </w:r>
            <w:proofErr w:type="gramEnd"/>
            <w:r w:rsidRPr="00A33EDB">
              <w:rPr>
                <w:rFonts w:ascii="Arial" w:hAnsi="Arial" w:cs="Arial"/>
                <w:sz w:val="24"/>
                <w:szCs w:val="24"/>
              </w:rPr>
              <w:t xml:space="preserve"> </w:t>
            </w:r>
            <w:r>
              <w:rPr>
                <w:rFonts w:ascii="Arial" w:hAnsi="Arial" w:cs="Arial"/>
                <w:sz w:val="24"/>
                <w:szCs w:val="24"/>
              </w:rPr>
              <w:t>2</w:t>
            </w:r>
            <w:r w:rsidRPr="00A33EDB">
              <w:rPr>
                <w:rFonts w:ascii="Arial" w:hAnsi="Arial" w:cs="Arial"/>
                <w:sz w:val="24"/>
                <w:szCs w:val="24"/>
              </w:rPr>
              <w:t xml:space="preserve"> Week</w:t>
            </w:r>
            <w:r>
              <w:rPr>
                <w:rFonts w:ascii="Arial" w:hAnsi="Arial" w:cs="Arial"/>
                <w:sz w:val="24"/>
                <w:szCs w:val="24"/>
              </w:rPr>
              <w:t>s</w:t>
            </w:r>
            <w:r w:rsidRPr="00A33EDB">
              <w:rPr>
                <w:rFonts w:ascii="Arial" w:hAnsi="Arial" w:cs="Arial"/>
                <w:sz w:val="24"/>
                <w:szCs w:val="24"/>
              </w:rPr>
              <w:t xml:space="preserve">, Resolved in </w:t>
            </w:r>
            <w:r>
              <w:rPr>
                <w:rFonts w:ascii="Arial" w:hAnsi="Arial" w:cs="Arial"/>
                <w:sz w:val="24"/>
                <w:szCs w:val="24"/>
              </w:rPr>
              <w:t xml:space="preserve">6 </w:t>
            </w:r>
            <w:r w:rsidRPr="00A33EDB">
              <w:rPr>
                <w:rFonts w:ascii="Arial" w:hAnsi="Arial" w:cs="Arial"/>
                <w:sz w:val="24"/>
                <w:szCs w:val="24"/>
              </w:rPr>
              <w:t>Month</w:t>
            </w:r>
            <w:r>
              <w:rPr>
                <w:rFonts w:ascii="Arial" w:hAnsi="Arial" w:cs="Arial"/>
                <w:sz w:val="24"/>
                <w:szCs w:val="24"/>
              </w:rPr>
              <w:t>s</w:t>
            </w:r>
          </w:p>
        </w:tc>
      </w:tr>
      <w:tr w:rsidR="003E48FD" w:rsidRPr="00E3509D" w14:paraId="0DA6F6CE" w14:textId="77777777" w:rsidTr="00070EA9">
        <w:tc>
          <w:tcPr>
            <w:tcW w:w="1823" w:type="dxa"/>
            <w:tcBorders>
              <w:top w:val="single" w:sz="4" w:space="0" w:color="auto"/>
              <w:left w:val="single" w:sz="4" w:space="0" w:color="auto"/>
              <w:bottom w:val="single" w:sz="4" w:space="0" w:color="auto"/>
              <w:right w:val="single" w:sz="4" w:space="0" w:color="auto"/>
            </w:tcBorders>
            <w:hideMark/>
          </w:tcPr>
          <w:p w14:paraId="0BBED08D" w14:textId="77777777" w:rsidR="003E48FD" w:rsidRPr="00E3509D" w:rsidRDefault="003E48FD" w:rsidP="00070EA9">
            <w:pPr>
              <w:spacing w:before="120" w:line="240" w:lineRule="auto"/>
              <w:ind w:right="446"/>
              <w:jc w:val="center"/>
              <w:rPr>
                <w:rFonts w:ascii="Arial" w:hAnsi="Arial" w:cs="Arial"/>
                <w:b/>
                <w:bCs/>
                <w:sz w:val="24"/>
                <w:szCs w:val="24"/>
              </w:rPr>
            </w:pPr>
            <w:r w:rsidRPr="00E3509D">
              <w:rPr>
                <w:rFonts w:ascii="Arial" w:hAnsi="Arial" w:cs="Arial"/>
                <w:b/>
                <w:bCs/>
                <w:sz w:val="24"/>
                <w:szCs w:val="24"/>
              </w:rPr>
              <w:t>Low</w:t>
            </w:r>
          </w:p>
        </w:tc>
        <w:tc>
          <w:tcPr>
            <w:tcW w:w="2767" w:type="dxa"/>
            <w:tcBorders>
              <w:top w:val="single" w:sz="4" w:space="0" w:color="auto"/>
              <w:left w:val="single" w:sz="4" w:space="0" w:color="auto"/>
              <w:bottom w:val="single" w:sz="4" w:space="0" w:color="auto"/>
              <w:right w:val="single" w:sz="4" w:space="0" w:color="auto"/>
            </w:tcBorders>
            <w:hideMark/>
          </w:tcPr>
          <w:p w14:paraId="3253574A" w14:textId="77777777" w:rsidR="003E48FD" w:rsidRPr="00A33EDB" w:rsidRDefault="003E48FD" w:rsidP="00070EA9">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453" w:type="dxa"/>
            <w:tcBorders>
              <w:top w:val="single" w:sz="4" w:space="0" w:color="auto"/>
              <w:left w:val="single" w:sz="4" w:space="0" w:color="auto"/>
              <w:bottom w:val="single" w:sz="4" w:space="0" w:color="auto"/>
              <w:right w:val="single" w:sz="4" w:space="0" w:color="auto"/>
            </w:tcBorders>
            <w:hideMark/>
          </w:tcPr>
          <w:p w14:paraId="42486FD9" w14:textId="77777777" w:rsidR="003E48FD" w:rsidRPr="00A33EDB" w:rsidRDefault="003E48FD" w:rsidP="00070EA9">
            <w:pPr>
              <w:spacing w:before="120" w:line="240" w:lineRule="auto"/>
              <w:ind w:right="446"/>
              <w:rPr>
                <w:rFonts w:ascii="Arial" w:hAnsi="Arial" w:cs="Arial"/>
                <w:sz w:val="24"/>
                <w:szCs w:val="24"/>
              </w:rPr>
            </w:pPr>
            <w:r w:rsidRPr="00A33EDB">
              <w:rPr>
                <w:rFonts w:ascii="Arial" w:hAnsi="Arial" w:cs="Arial"/>
                <w:sz w:val="24"/>
                <w:szCs w:val="24"/>
              </w:rPr>
              <w:t>At the discretion of the ISO/designated security representative</w:t>
            </w:r>
          </w:p>
        </w:tc>
        <w:tc>
          <w:tcPr>
            <w:tcW w:w="2520" w:type="dxa"/>
            <w:tcBorders>
              <w:top w:val="single" w:sz="4" w:space="0" w:color="auto"/>
              <w:left w:val="single" w:sz="4" w:space="0" w:color="auto"/>
              <w:bottom w:val="single" w:sz="4" w:space="0" w:color="auto"/>
              <w:right w:val="single" w:sz="4" w:space="0" w:color="auto"/>
            </w:tcBorders>
            <w:hideMark/>
          </w:tcPr>
          <w:p w14:paraId="6FF7B9FC" w14:textId="77777777" w:rsidR="003E48FD" w:rsidRPr="00A33EDB" w:rsidRDefault="003E48FD" w:rsidP="00070EA9">
            <w:pPr>
              <w:spacing w:before="120" w:line="240" w:lineRule="auto"/>
              <w:ind w:right="446"/>
              <w:rPr>
                <w:rFonts w:ascii="Arial" w:hAnsi="Arial" w:cs="Arial"/>
                <w:sz w:val="24"/>
                <w:szCs w:val="24"/>
              </w:rPr>
            </w:pPr>
            <w:r w:rsidRPr="00A33EDB">
              <w:rPr>
                <w:rFonts w:ascii="Arial" w:hAnsi="Arial" w:cs="Arial"/>
                <w:sz w:val="24"/>
                <w:szCs w:val="24"/>
              </w:rPr>
              <w:t xml:space="preserve">Action Plan in </w:t>
            </w:r>
            <w:r>
              <w:rPr>
                <w:rFonts w:ascii="Arial" w:hAnsi="Arial" w:cs="Arial"/>
                <w:sz w:val="24"/>
                <w:szCs w:val="24"/>
              </w:rPr>
              <w:t>3</w:t>
            </w:r>
            <w:r w:rsidRPr="00A33EDB">
              <w:rPr>
                <w:rFonts w:ascii="Arial" w:hAnsi="Arial" w:cs="Arial"/>
                <w:sz w:val="24"/>
                <w:szCs w:val="24"/>
              </w:rPr>
              <w:t xml:space="preserve"> Weeks, Resolved </w:t>
            </w:r>
            <w:r>
              <w:rPr>
                <w:rFonts w:ascii="Arial" w:hAnsi="Arial" w:cs="Arial"/>
                <w:sz w:val="24"/>
                <w:szCs w:val="24"/>
              </w:rPr>
              <w:t>1 year</w:t>
            </w:r>
          </w:p>
        </w:tc>
      </w:tr>
    </w:tbl>
    <w:p w14:paraId="685D5ED5" w14:textId="77777777" w:rsidR="003E48FD" w:rsidRDefault="003E48FD" w:rsidP="003E48FD">
      <w:pPr>
        <w:pStyle w:val="ParagraphSections"/>
      </w:pPr>
    </w:p>
    <w:p w14:paraId="3E06FD71" w14:textId="77777777" w:rsidR="003E48FD" w:rsidRDefault="003E48FD" w:rsidP="003E48FD">
      <w:pPr>
        <w:pStyle w:val="ParagraphSections"/>
      </w:pPr>
      <w:r>
        <w:t>The ISO/designated security representative may review vulnerabilities to adjust the severity rating if necessary.  Testing must be done to verify that remediation has been completed.</w:t>
      </w:r>
    </w:p>
    <w:p w14:paraId="2D35B317" w14:textId="77777777" w:rsidR="003E48FD" w:rsidRDefault="003E48FD" w:rsidP="003E48FD">
      <w:pPr>
        <w:pStyle w:val="ParagraphSections"/>
      </w:pPr>
      <w:r>
        <w:t xml:space="preserve">Individuals managing vulnerability scans are required to notify the ISO/designated security representative within 1 business day of scan completion for new </w:t>
      </w:r>
      <w:proofErr w:type="gramStart"/>
      <w:r>
        <w:t>vulnerabilities</w:t>
      </w:r>
      <w:proofErr w:type="gramEnd"/>
      <w:r>
        <w:t xml:space="preserve"> and at least monthly of un-remediated vulnerabilities on systems or applications that are running in production. </w:t>
      </w:r>
    </w:p>
    <w:p w14:paraId="58EC6A7E" w14:textId="0024476F" w:rsidR="003E48FD" w:rsidRPr="003E48FD" w:rsidRDefault="003E48FD" w:rsidP="003E48FD">
      <w:pPr>
        <w:pStyle w:val="ParagraphSections"/>
      </w:pPr>
      <w:r>
        <w:t>ISOs/designated security representatives must notify management of any un-remediated vulnerabilities not addressed in the timeframes prescribed in this standard, so that risk is accepted by the appropriate party.</w:t>
      </w:r>
    </w:p>
    <w:p w14:paraId="3C81F238" w14:textId="0457AD5B" w:rsidR="00FD26A2" w:rsidRPr="001F6975" w:rsidRDefault="00AF069C" w:rsidP="00A92A22">
      <w:pPr>
        <w:pStyle w:val="Heading1"/>
        <w:rPr>
          <w:color w:val="auto"/>
        </w:rPr>
      </w:pPr>
      <w:r w:rsidRPr="001F6975">
        <w:rPr>
          <w:color w:val="auto"/>
        </w:rPr>
        <w:lastRenderedPageBreak/>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5"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6"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7"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6"/>
    <w:bookmarkEnd w:id="7"/>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5"/>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bookmarkEnd w:id="2"/>
    <w:p w14:paraId="5BA333EB" w14:textId="0FA74EA2" w:rsidR="00C920C4" w:rsidRDefault="006F1554" w:rsidP="00CA284F">
      <w:pPr>
        <w:pStyle w:val="ParagraphSections"/>
        <w:rPr>
          <w:rStyle w:val="Hyperlink"/>
        </w:rPr>
      </w:pPr>
      <w:r>
        <w:fldChar w:fldCharType="begin"/>
      </w:r>
      <w:r>
        <w:instrText>HYPERLINK "https://csrc.nist.gov/pubs/sp/800/92/final"</w:instrText>
      </w:r>
      <w:r>
        <w:fldChar w:fldCharType="separate"/>
      </w:r>
      <w:r w:rsidRPr="006F1554">
        <w:rPr>
          <w:rStyle w:val="Hyperlink"/>
        </w:rPr>
        <w:t>National Institute of Standards and Technology (NIST) SP: 800-92 - Guide to Computer Security Log Management</w:t>
      </w:r>
      <w:r>
        <w:rPr>
          <w:rStyle w:val="Hyperlink"/>
        </w:rPr>
        <w:fldChar w:fldCharType="end"/>
      </w:r>
    </w:p>
    <w:p w14:paraId="15A81EC5" w14:textId="742C9148" w:rsidR="003E48FD" w:rsidRPr="003E48FD" w:rsidRDefault="003E48FD" w:rsidP="00CA284F">
      <w:pPr>
        <w:pStyle w:val="ParagraphSections"/>
        <w:rPr>
          <w:color w:val="0000FF" w:themeColor="hyperlink"/>
          <w:u w:val="single"/>
        </w:rPr>
      </w:pPr>
      <w:hyperlink r:id="rId11" w:history="1">
        <w:r w:rsidRPr="003E48FD">
          <w:rPr>
            <w:rStyle w:val="Hyperlink"/>
          </w:rPr>
          <w:t>National Institute of Standards and Technology (NIST) SP: 800-</w:t>
        </w:r>
        <w:r w:rsidRPr="003E48FD">
          <w:rPr>
            <w:rStyle w:val="Hyperlink"/>
          </w:rPr>
          <w:t>115</w:t>
        </w:r>
        <w:r w:rsidRPr="003E48FD">
          <w:rPr>
            <w:rStyle w:val="Hyperlink"/>
          </w:rPr>
          <w:t xml:space="preserve"> - Technical Guide to Information Security Testing and Assessment</w:t>
        </w:r>
      </w:hyperlink>
    </w:p>
    <w:sectPr w:rsidR="003E48FD" w:rsidRPr="003E48FD" w:rsidSect="00370ECE">
      <w:footerReference w:type="defaul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DCDAC" w14:textId="77777777" w:rsidR="00E5175A" w:rsidRDefault="00E5175A" w:rsidP="00D212FD">
      <w:pPr>
        <w:spacing w:after="0" w:line="240" w:lineRule="auto"/>
      </w:pPr>
      <w:r>
        <w:separator/>
      </w:r>
    </w:p>
  </w:endnote>
  <w:endnote w:type="continuationSeparator" w:id="0">
    <w:p w14:paraId="2215E0A8" w14:textId="77777777" w:rsidR="00E5175A" w:rsidRDefault="00E5175A" w:rsidP="00D212FD">
      <w:pPr>
        <w:spacing w:after="0" w:line="240" w:lineRule="auto"/>
      </w:pPr>
      <w:r>
        <w:continuationSeparator/>
      </w:r>
    </w:p>
  </w:endnote>
  <w:endnote w:type="continuationNotice" w:id="1">
    <w:p w14:paraId="218FC2D0" w14:textId="77777777" w:rsidR="00E5175A" w:rsidRDefault="00E517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641B85C7" w:rsidR="00BC124B" w:rsidRPr="00370ECE" w:rsidRDefault="003E48FD">
    <w:pPr>
      <w:pStyle w:val="Footer"/>
      <w:rPr>
        <w:rFonts w:ascii="Arial" w:hAnsi="Arial" w:cs="Arial"/>
        <w:b/>
        <w:sz w:val="20"/>
        <w:szCs w:val="16"/>
      </w:rPr>
    </w:pPr>
    <w:r>
      <w:rPr>
        <w:rFonts w:ascii="Arial" w:hAnsi="Arial" w:cs="Arial"/>
        <w:b/>
        <w:sz w:val="20"/>
        <w:szCs w:val="16"/>
      </w:rPr>
      <w:t>Vulnerability Scanning Standard</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Pr>
        <w:rFonts w:ascii="Arial" w:hAnsi="Arial" w:cs="Arial"/>
        <w:b/>
        <w:noProof/>
        <w:sz w:val="20"/>
        <w:szCs w:val="16"/>
      </w:rPr>
      <w:t>8</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6BF17" w14:textId="77777777" w:rsidR="00E5175A" w:rsidRDefault="00E5175A" w:rsidP="00D212FD">
      <w:pPr>
        <w:spacing w:after="0" w:line="240" w:lineRule="auto"/>
      </w:pPr>
      <w:r>
        <w:separator/>
      </w:r>
    </w:p>
  </w:footnote>
  <w:footnote w:type="continuationSeparator" w:id="0">
    <w:p w14:paraId="10304B73" w14:textId="77777777" w:rsidR="00E5175A" w:rsidRDefault="00E5175A" w:rsidP="00D212FD">
      <w:pPr>
        <w:spacing w:after="0" w:line="240" w:lineRule="auto"/>
      </w:pPr>
      <w:r>
        <w:continuationSeparator/>
      </w:r>
    </w:p>
  </w:footnote>
  <w:footnote w:type="continuationNotice" w:id="1">
    <w:p w14:paraId="371C57E9" w14:textId="77777777" w:rsidR="00E5175A" w:rsidRDefault="00E517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37.05pt;height:36.5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8C6BA3"/>
    <w:multiLevelType w:val="multilevel"/>
    <w:tmpl w:val="D32A864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0"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1"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71"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6"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8"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0"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94"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6"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9"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22"/>
  </w:num>
  <w:num w:numId="2" w16cid:durableId="1514145562">
    <w:abstractNumId w:val="23"/>
  </w:num>
  <w:num w:numId="3" w16cid:durableId="225997702">
    <w:abstractNumId w:val="24"/>
  </w:num>
  <w:num w:numId="4" w16cid:durableId="1748962890">
    <w:abstractNumId w:val="102"/>
  </w:num>
  <w:num w:numId="5" w16cid:durableId="79567034">
    <w:abstractNumId w:val="26"/>
  </w:num>
  <w:num w:numId="6" w16cid:durableId="102041457">
    <w:abstractNumId w:val="46"/>
  </w:num>
  <w:num w:numId="7" w16cid:durableId="1957787226">
    <w:abstractNumId w:val="70"/>
  </w:num>
  <w:num w:numId="8" w16cid:durableId="1492454130">
    <w:abstractNumId w:val="89"/>
  </w:num>
  <w:num w:numId="9" w16cid:durableId="231932244">
    <w:abstractNumId w:val="75"/>
  </w:num>
  <w:num w:numId="10" w16cid:durableId="1594314303">
    <w:abstractNumId w:val="91"/>
  </w:num>
  <w:num w:numId="11" w16cid:durableId="587732204">
    <w:abstractNumId w:val="30"/>
  </w:num>
  <w:num w:numId="12" w16cid:durableId="791099340">
    <w:abstractNumId w:val="69"/>
  </w:num>
  <w:num w:numId="13" w16cid:durableId="192615054">
    <w:abstractNumId w:val="83"/>
  </w:num>
  <w:num w:numId="14" w16cid:durableId="1463234607">
    <w:abstractNumId w:val="101"/>
  </w:num>
  <w:num w:numId="15" w16cid:durableId="2078818769">
    <w:abstractNumId w:val="76"/>
  </w:num>
  <w:num w:numId="16" w16cid:durableId="424889611">
    <w:abstractNumId w:val="98"/>
  </w:num>
  <w:num w:numId="17" w16cid:durableId="298457807">
    <w:abstractNumId w:val="43"/>
  </w:num>
  <w:num w:numId="18" w16cid:durableId="1117681564">
    <w:abstractNumId w:val="16"/>
  </w:num>
  <w:num w:numId="19" w16cid:durableId="1963684235">
    <w:abstractNumId w:val="50"/>
  </w:num>
  <w:num w:numId="20" w16cid:durableId="2145417109">
    <w:abstractNumId w:val="19"/>
  </w:num>
  <w:num w:numId="21" w16cid:durableId="1112942345">
    <w:abstractNumId w:val="95"/>
  </w:num>
  <w:num w:numId="22" w16cid:durableId="2078552006">
    <w:abstractNumId w:val="2"/>
  </w:num>
  <w:num w:numId="23" w16cid:durableId="1321499760">
    <w:abstractNumId w:val="66"/>
  </w:num>
  <w:num w:numId="24" w16cid:durableId="840972350">
    <w:abstractNumId w:val="39"/>
  </w:num>
  <w:num w:numId="25" w16cid:durableId="754714813">
    <w:abstractNumId w:val="20"/>
  </w:num>
  <w:num w:numId="26" w16cid:durableId="235092744">
    <w:abstractNumId w:val="76"/>
  </w:num>
  <w:num w:numId="27" w16cid:durableId="964044067">
    <w:abstractNumId w:val="14"/>
  </w:num>
  <w:num w:numId="28" w16cid:durableId="459542745">
    <w:abstractNumId w:val="77"/>
  </w:num>
  <w:num w:numId="29" w16cid:durableId="1971202156">
    <w:abstractNumId w:val="77"/>
  </w:num>
  <w:num w:numId="30" w16cid:durableId="748649458">
    <w:abstractNumId w:val="6"/>
  </w:num>
  <w:num w:numId="31" w16cid:durableId="507451150">
    <w:abstractNumId w:val="93"/>
  </w:num>
  <w:num w:numId="32" w16cid:durableId="1251425206">
    <w:abstractNumId w:val="11"/>
  </w:num>
  <w:num w:numId="33" w16cid:durableId="1719548277">
    <w:abstractNumId w:val="0"/>
  </w:num>
  <w:num w:numId="34" w16cid:durableId="1884634594">
    <w:abstractNumId w:val="5"/>
  </w:num>
  <w:num w:numId="35" w16cid:durableId="1878809610">
    <w:abstractNumId w:val="82"/>
  </w:num>
  <w:num w:numId="36" w16cid:durableId="729882645">
    <w:abstractNumId w:val="42"/>
  </w:num>
  <w:num w:numId="37" w16cid:durableId="662511869">
    <w:abstractNumId w:val="18"/>
  </w:num>
  <w:num w:numId="38" w16cid:durableId="1314141274">
    <w:abstractNumId w:val="29"/>
  </w:num>
  <w:num w:numId="39" w16cid:durableId="163134697">
    <w:abstractNumId w:val="57"/>
  </w:num>
  <w:num w:numId="40" w16cid:durableId="90471875">
    <w:abstractNumId w:val="92"/>
  </w:num>
  <w:num w:numId="41" w16cid:durableId="872771505">
    <w:abstractNumId w:val="17"/>
  </w:num>
  <w:num w:numId="42" w16cid:durableId="1080102891">
    <w:abstractNumId w:val="87"/>
  </w:num>
  <w:num w:numId="43" w16cid:durableId="941651372">
    <w:abstractNumId w:val="33"/>
  </w:num>
  <w:num w:numId="44" w16cid:durableId="202984311">
    <w:abstractNumId w:val="37"/>
  </w:num>
  <w:num w:numId="45" w16cid:durableId="670764675">
    <w:abstractNumId w:val="21"/>
  </w:num>
  <w:num w:numId="46" w16cid:durableId="22899870">
    <w:abstractNumId w:val="64"/>
  </w:num>
  <w:num w:numId="47" w16cid:durableId="594897494">
    <w:abstractNumId w:val="59"/>
  </w:num>
  <w:num w:numId="48" w16cid:durableId="1046181208">
    <w:abstractNumId w:val="80"/>
  </w:num>
  <w:num w:numId="49" w16cid:durableId="527791583">
    <w:abstractNumId w:val="56"/>
  </w:num>
  <w:num w:numId="50" w16cid:durableId="809438784">
    <w:abstractNumId w:val="25"/>
  </w:num>
  <w:num w:numId="51" w16cid:durableId="1375276283">
    <w:abstractNumId w:val="85"/>
  </w:num>
  <w:num w:numId="52" w16cid:durableId="1118791430">
    <w:abstractNumId w:val="97"/>
  </w:num>
  <w:num w:numId="53" w16cid:durableId="906500447">
    <w:abstractNumId w:val="3"/>
  </w:num>
  <w:num w:numId="54" w16cid:durableId="604532487">
    <w:abstractNumId w:val="7"/>
  </w:num>
  <w:num w:numId="55" w16cid:durableId="1424229020">
    <w:abstractNumId w:val="62"/>
  </w:num>
  <w:num w:numId="56" w16cid:durableId="412050158">
    <w:abstractNumId w:val="4"/>
  </w:num>
  <w:num w:numId="57" w16cid:durableId="271741903">
    <w:abstractNumId w:val="45"/>
  </w:num>
  <w:num w:numId="58" w16cid:durableId="611715386">
    <w:abstractNumId w:val="35"/>
  </w:num>
  <w:num w:numId="59" w16cid:durableId="432014363">
    <w:abstractNumId w:val="27"/>
  </w:num>
  <w:num w:numId="60" w16cid:durableId="1357072833">
    <w:abstractNumId w:val="41"/>
  </w:num>
  <w:num w:numId="61" w16cid:durableId="1083916185">
    <w:abstractNumId w:val="67"/>
  </w:num>
  <w:num w:numId="62" w16cid:durableId="434599134">
    <w:abstractNumId w:val="48"/>
  </w:num>
  <w:num w:numId="63" w16cid:durableId="1906333805">
    <w:abstractNumId w:val="12"/>
  </w:num>
  <w:num w:numId="64" w16cid:durableId="2007323139">
    <w:abstractNumId w:val="67"/>
  </w:num>
  <w:num w:numId="65" w16cid:durableId="1117287286">
    <w:abstractNumId w:val="10"/>
  </w:num>
  <w:num w:numId="66" w16cid:durableId="2034106498">
    <w:abstractNumId w:val="53"/>
  </w:num>
  <w:num w:numId="67" w16cid:durableId="828251500">
    <w:abstractNumId w:val="86"/>
  </w:num>
  <w:num w:numId="68" w16cid:durableId="1879971182">
    <w:abstractNumId w:val="73"/>
  </w:num>
  <w:num w:numId="69" w16cid:durableId="757793527">
    <w:abstractNumId w:val="90"/>
  </w:num>
  <w:num w:numId="70" w16cid:durableId="266739948">
    <w:abstractNumId w:val="63"/>
  </w:num>
  <w:num w:numId="71" w16cid:durableId="157355603">
    <w:abstractNumId w:val="55"/>
  </w:num>
  <w:num w:numId="72" w16cid:durableId="1820656487">
    <w:abstractNumId w:val="71"/>
  </w:num>
  <w:num w:numId="73" w16cid:durableId="651760037">
    <w:abstractNumId w:val="32"/>
  </w:num>
  <w:num w:numId="74" w16cid:durableId="249898313">
    <w:abstractNumId w:val="9"/>
  </w:num>
  <w:num w:numId="75" w16cid:durableId="652107625">
    <w:abstractNumId w:val="13"/>
  </w:num>
  <w:num w:numId="76" w16cid:durableId="2014717049">
    <w:abstractNumId w:val="84"/>
  </w:num>
  <w:num w:numId="77" w16cid:durableId="1376393224">
    <w:abstractNumId w:val="49"/>
  </w:num>
  <w:num w:numId="78" w16cid:durableId="432746525">
    <w:abstractNumId w:val="96"/>
  </w:num>
  <w:num w:numId="79" w16cid:durableId="1019740546">
    <w:abstractNumId w:val="8"/>
  </w:num>
  <w:num w:numId="80" w16cid:durableId="905457854">
    <w:abstractNumId w:val="47"/>
  </w:num>
  <w:num w:numId="81" w16cid:durableId="786852085">
    <w:abstractNumId w:val="68"/>
  </w:num>
  <w:num w:numId="82" w16cid:durableId="1749499393">
    <w:abstractNumId w:val="103"/>
  </w:num>
  <w:num w:numId="83" w16cid:durableId="1380086196">
    <w:abstractNumId w:val="78"/>
  </w:num>
  <w:num w:numId="84" w16cid:durableId="613631224">
    <w:abstractNumId w:val="28"/>
  </w:num>
  <w:num w:numId="85" w16cid:durableId="547686744">
    <w:abstractNumId w:val="51"/>
  </w:num>
  <w:num w:numId="86" w16cid:durableId="361827481">
    <w:abstractNumId w:val="100"/>
  </w:num>
  <w:num w:numId="87" w16cid:durableId="1513494410">
    <w:abstractNumId w:val="72"/>
  </w:num>
  <w:num w:numId="88" w16cid:durableId="1450468933">
    <w:abstractNumId w:val="34"/>
  </w:num>
  <w:num w:numId="89" w16cid:durableId="353725285">
    <w:abstractNumId w:val="65"/>
  </w:num>
  <w:num w:numId="90" w16cid:durableId="57361110">
    <w:abstractNumId w:val="40"/>
  </w:num>
  <w:num w:numId="91" w16cid:durableId="202523">
    <w:abstractNumId w:val="15"/>
  </w:num>
  <w:num w:numId="92" w16cid:durableId="552279996">
    <w:abstractNumId w:val="36"/>
  </w:num>
  <w:num w:numId="93" w16cid:durableId="448164797">
    <w:abstractNumId w:val="99"/>
  </w:num>
  <w:num w:numId="94" w16cid:durableId="887495297">
    <w:abstractNumId w:val="94"/>
  </w:num>
  <w:num w:numId="95" w16cid:durableId="1150754622">
    <w:abstractNumId w:val="52"/>
  </w:num>
  <w:num w:numId="96" w16cid:durableId="745540869">
    <w:abstractNumId w:val="61"/>
  </w:num>
  <w:num w:numId="97" w16cid:durableId="1452506872">
    <w:abstractNumId w:val="60"/>
  </w:num>
  <w:num w:numId="98" w16cid:durableId="2022076631">
    <w:abstractNumId w:val="58"/>
  </w:num>
  <w:num w:numId="99" w16cid:durableId="1532958662">
    <w:abstractNumId w:val="54"/>
  </w:num>
  <w:num w:numId="100" w16cid:durableId="553784121">
    <w:abstractNumId w:val="31"/>
  </w:num>
  <w:num w:numId="101" w16cid:durableId="1286548520">
    <w:abstractNumId w:val="38"/>
  </w:num>
  <w:num w:numId="102" w16cid:durableId="1166940313">
    <w:abstractNumId w:val="74"/>
  </w:num>
  <w:num w:numId="103" w16cid:durableId="1726292048">
    <w:abstractNumId w:val="8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44"/>
  </w:num>
  <w:num w:numId="105" w16cid:durableId="1769304798">
    <w:abstractNumId w:val="1"/>
  </w:num>
  <w:num w:numId="106" w16cid:durableId="1382247122">
    <w:abstractNumId w:val="81"/>
  </w:num>
  <w:num w:numId="107" w16cid:durableId="485706628">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36A2A"/>
    <w:rsid w:val="00042258"/>
    <w:rsid w:val="0004473F"/>
    <w:rsid w:val="00064308"/>
    <w:rsid w:val="000649E1"/>
    <w:rsid w:val="00067349"/>
    <w:rsid w:val="00067BF2"/>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7DE"/>
    <w:rsid w:val="000E004A"/>
    <w:rsid w:val="000E1B8F"/>
    <w:rsid w:val="000E2AB1"/>
    <w:rsid w:val="000E5E88"/>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C0D8B"/>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52356"/>
    <w:rsid w:val="00254F95"/>
    <w:rsid w:val="002657E4"/>
    <w:rsid w:val="0026673E"/>
    <w:rsid w:val="00266C30"/>
    <w:rsid w:val="002761BB"/>
    <w:rsid w:val="00276B81"/>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2E5E"/>
    <w:rsid w:val="0035310E"/>
    <w:rsid w:val="003562C4"/>
    <w:rsid w:val="00360086"/>
    <w:rsid w:val="00362BB0"/>
    <w:rsid w:val="003651AC"/>
    <w:rsid w:val="00370ECE"/>
    <w:rsid w:val="00376E65"/>
    <w:rsid w:val="00383988"/>
    <w:rsid w:val="00387ECF"/>
    <w:rsid w:val="00391D2B"/>
    <w:rsid w:val="003A1031"/>
    <w:rsid w:val="003A504C"/>
    <w:rsid w:val="003A50A7"/>
    <w:rsid w:val="003A5838"/>
    <w:rsid w:val="003A60BF"/>
    <w:rsid w:val="003A79AA"/>
    <w:rsid w:val="003B0EBB"/>
    <w:rsid w:val="003B658A"/>
    <w:rsid w:val="003C3A84"/>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3DDD"/>
    <w:rsid w:val="004249B0"/>
    <w:rsid w:val="00426882"/>
    <w:rsid w:val="00431C29"/>
    <w:rsid w:val="00432A58"/>
    <w:rsid w:val="004373BC"/>
    <w:rsid w:val="00446B8D"/>
    <w:rsid w:val="00452BE4"/>
    <w:rsid w:val="00453386"/>
    <w:rsid w:val="0045793A"/>
    <w:rsid w:val="004612DA"/>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316D"/>
    <w:rsid w:val="00516F54"/>
    <w:rsid w:val="00517A11"/>
    <w:rsid w:val="00517D43"/>
    <w:rsid w:val="00522500"/>
    <w:rsid w:val="00525B85"/>
    <w:rsid w:val="00530EDC"/>
    <w:rsid w:val="00531239"/>
    <w:rsid w:val="005318F6"/>
    <w:rsid w:val="00537B26"/>
    <w:rsid w:val="005401C8"/>
    <w:rsid w:val="005417A0"/>
    <w:rsid w:val="005419EC"/>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66F23"/>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5098"/>
    <w:rsid w:val="007B7F24"/>
    <w:rsid w:val="007C694B"/>
    <w:rsid w:val="007C77C2"/>
    <w:rsid w:val="007D1AC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65597"/>
    <w:rsid w:val="00874B8B"/>
    <w:rsid w:val="008813BF"/>
    <w:rsid w:val="008834A0"/>
    <w:rsid w:val="00883EF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B14A5"/>
    <w:rsid w:val="00AB28B1"/>
    <w:rsid w:val="00AB44CE"/>
    <w:rsid w:val="00AB60B1"/>
    <w:rsid w:val="00AB7016"/>
    <w:rsid w:val="00AB77FE"/>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350"/>
    <w:rsid w:val="00B806DF"/>
    <w:rsid w:val="00B80787"/>
    <w:rsid w:val="00B80A67"/>
    <w:rsid w:val="00B925C7"/>
    <w:rsid w:val="00B9673C"/>
    <w:rsid w:val="00BA0F45"/>
    <w:rsid w:val="00BA4997"/>
    <w:rsid w:val="00BB00F8"/>
    <w:rsid w:val="00BB0850"/>
    <w:rsid w:val="00BB44CE"/>
    <w:rsid w:val="00BC0E64"/>
    <w:rsid w:val="00BC124B"/>
    <w:rsid w:val="00BC1E70"/>
    <w:rsid w:val="00BC3852"/>
    <w:rsid w:val="00BC4D98"/>
    <w:rsid w:val="00BC5920"/>
    <w:rsid w:val="00BC720C"/>
    <w:rsid w:val="00BD0603"/>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F9B"/>
    <w:rsid w:val="00C57773"/>
    <w:rsid w:val="00C73C6D"/>
    <w:rsid w:val="00C83D0F"/>
    <w:rsid w:val="00C920C4"/>
    <w:rsid w:val="00C931B6"/>
    <w:rsid w:val="00C966B0"/>
    <w:rsid w:val="00C97C8F"/>
    <w:rsid w:val="00CA284F"/>
    <w:rsid w:val="00CA7724"/>
    <w:rsid w:val="00CB6068"/>
    <w:rsid w:val="00CB7255"/>
    <w:rsid w:val="00CB7936"/>
    <w:rsid w:val="00CC1F5B"/>
    <w:rsid w:val="00CC3316"/>
    <w:rsid w:val="00CC7981"/>
    <w:rsid w:val="00CD3817"/>
    <w:rsid w:val="00CD4267"/>
    <w:rsid w:val="00CD7EB7"/>
    <w:rsid w:val="00CE4838"/>
    <w:rsid w:val="00CF278D"/>
    <w:rsid w:val="00CF71F6"/>
    <w:rsid w:val="00D00D2F"/>
    <w:rsid w:val="00D06944"/>
    <w:rsid w:val="00D10A37"/>
    <w:rsid w:val="00D16FEA"/>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D6B81"/>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ist.gov/privacy-framework/nist-sp-800-115"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1D342F"/>
    <w:rsid w:val="00225E6E"/>
    <w:rsid w:val="00231331"/>
    <w:rsid w:val="002D554D"/>
    <w:rsid w:val="002E2CC9"/>
    <w:rsid w:val="003A7898"/>
    <w:rsid w:val="003E26C0"/>
    <w:rsid w:val="003E5700"/>
    <w:rsid w:val="00590B50"/>
    <w:rsid w:val="005A0CCC"/>
    <w:rsid w:val="00603186"/>
    <w:rsid w:val="00666F23"/>
    <w:rsid w:val="00756219"/>
    <w:rsid w:val="007B6361"/>
    <w:rsid w:val="007F3F5D"/>
    <w:rsid w:val="008E09B4"/>
    <w:rsid w:val="008E65C9"/>
    <w:rsid w:val="008F60AB"/>
    <w:rsid w:val="0096366A"/>
    <w:rsid w:val="009822FE"/>
    <w:rsid w:val="00A0480E"/>
    <w:rsid w:val="00A31AA0"/>
    <w:rsid w:val="00A6201B"/>
    <w:rsid w:val="00B26C96"/>
    <w:rsid w:val="00B80350"/>
    <w:rsid w:val="00C6593C"/>
    <w:rsid w:val="00C9565F"/>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565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5</TotalTime>
  <Pages>8</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3</cp:revision>
  <dcterms:created xsi:type="dcterms:W3CDTF">2024-10-26T23:31:00Z</dcterms:created>
  <dcterms:modified xsi:type="dcterms:W3CDTF">2024-10-26T23:41:00Z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