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4F247110" w14:textId="77777777" w:rsidR="00C931B6" w:rsidRPr="00D02583" w:rsidRDefault="00C931B6" w:rsidP="00B41C3C">
            <w:pPr>
              <w:spacing w:after="0" w:line="240" w:lineRule="auto"/>
              <w:jc w:val="center"/>
              <w:rPr>
                <w:rFonts w:ascii="Arial" w:hAnsi="Arial" w:cs="Arial"/>
                <w:sz w:val="16"/>
                <w:szCs w:val="16"/>
              </w:rPr>
            </w:pPr>
          </w:p>
          <w:p w14:paraId="46BF8AB2" w14:textId="48F63511" w:rsidR="00CC3316" w:rsidRPr="00A75C2A" w:rsidRDefault="00C931B6" w:rsidP="00B41C3C">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3D389F70" w14:textId="4564183E"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378FB">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0A60C403" w14:textId="77777777" w:rsidR="00D16FEA" w:rsidRDefault="00D16FEA" w:rsidP="00D16FEA">
      <w:pPr>
        <w:pStyle w:val="ParagraphSections"/>
        <w:rPr>
          <w:b/>
        </w:rPr>
      </w:pPr>
      <w:r w:rsidRPr="00D16FEA">
        <w:t>Information Technology (IT) and the various business units (information owners) will ensure security controls in information systems, and the environments in which those systems operate, as part of initial and ongoing security authorizations, annual assessments, continuous monitoring and system development life cycle activities.</w:t>
      </w:r>
    </w:p>
    <w:p w14:paraId="07A3C879" w14:textId="67322921"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69525A88" w14:textId="7D2F127D" w:rsidR="00B925C7" w:rsidRDefault="00B925C7" w:rsidP="00A92A22">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6B04A0FC" w14:textId="677FD424" w:rsidR="00B925C7" w:rsidRDefault="00B925C7" w:rsidP="00B925C7">
      <w:pPr>
        <w:pStyle w:val="InfoSections"/>
      </w:pPr>
      <w:r>
        <w:t>Security Assessment and Authorization Policy and Procedures</w:t>
      </w:r>
    </w:p>
    <w:p w14:paraId="6B8BC261" w14:textId="69A4AE83" w:rsidR="00B925C7" w:rsidRDefault="00B925C7" w:rsidP="00B925C7">
      <w:pPr>
        <w:pStyle w:val="Bullets"/>
      </w:pPr>
      <w:r w:rsidRPr="00B925C7">
        <w:t xml:space="preserve">The </w:t>
      </w:r>
      <w:sdt>
        <w:sdtPr>
          <w:alias w:val="Organization Name"/>
          <w:tag w:val="Organization Name"/>
          <w:id w:val="172919654"/>
          <w:placeholder>
            <w:docPart w:val="50D96C0F4DBD400AACFDB29CA089F0D7"/>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w:t>
      </w:r>
      <w:r w:rsidRPr="00B925C7">
        <w:t>shall:</w:t>
      </w:r>
    </w:p>
    <w:p w14:paraId="1F6EBED2" w14:textId="6AD9148F" w:rsidR="00B925C7" w:rsidRDefault="00B925C7" w:rsidP="00B925C7">
      <w:pPr>
        <w:pStyle w:val="Bullets"/>
        <w:numPr>
          <w:ilvl w:val="0"/>
          <w:numId w:val="70"/>
        </w:numPr>
      </w:pPr>
      <w:r w:rsidRPr="00B925C7">
        <w:t xml:space="preserve">Develop, document, and disseminate to </w:t>
      </w:r>
      <w:r w:rsidR="000B2933" w:rsidRPr="000B2933">
        <w:t>designated personnel such as IT staff, security teams, and management</w:t>
      </w:r>
      <w:r w:rsidRPr="00B925C7">
        <w:t>:</w:t>
      </w:r>
    </w:p>
    <w:p w14:paraId="0CE1DA6D" w14:textId="77777777" w:rsidR="00B925C7" w:rsidRDefault="00B925C7" w:rsidP="00B925C7">
      <w:pPr>
        <w:pStyle w:val="Bullets"/>
        <w:numPr>
          <w:ilvl w:val="1"/>
          <w:numId w:val="70"/>
        </w:numPr>
      </w:pPr>
      <w:r>
        <w:t>A security assessment and authorization policy that addresses purpose, scope, roles, responsibilities, management commitment, coordination among organizational entities, and compliance.</w:t>
      </w:r>
    </w:p>
    <w:p w14:paraId="6C3E123B" w14:textId="4F85336E" w:rsidR="00B925C7" w:rsidRDefault="00B925C7" w:rsidP="00B925C7">
      <w:pPr>
        <w:pStyle w:val="Bullets"/>
        <w:numPr>
          <w:ilvl w:val="1"/>
          <w:numId w:val="70"/>
        </w:numPr>
      </w:pPr>
      <w:r>
        <w:t>Procedures to facilitate the implementation of the security assessment and authorization policy and associated security assessment and authorization controls.</w:t>
      </w:r>
    </w:p>
    <w:p w14:paraId="2AA0F1D5" w14:textId="7E1D2952" w:rsidR="00B925C7" w:rsidRDefault="00B925C7" w:rsidP="00CC1F5B">
      <w:pPr>
        <w:pStyle w:val="Bullets"/>
        <w:numPr>
          <w:ilvl w:val="0"/>
          <w:numId w:val="70"/>
        </w:numPr>
        <w:spacing w:after="200"/>
      </w:pPr>
      <w:r w:rsidRPr="00B925C7">
        <w:t>Review and update the current security assessment and authorization policy and procedures</w:t>
      </w:r>
      <w:r w:rsidR="000B2933">
        <w:t xml:space="preserve"> </w:t>
      </w:r>
      <w:r w:rsidR="000B2933" w:rsidRPr="000B2933">
        <w:t>annually or bi-annually</w:t>
      </w:r>
      <w:r w:rsidRPr="00B925C7">
        <w:t>.</w:t>
      </w:r>
    </w:p>
    <w:p w14:paraId="0F8AB7D2" w14:textId="1DA88CE0" w:rsidR="00B925C7" w:rsidRDefault="00B925C7" w:rsidP="00B925C7">
      <w:pPr>
        <w:pStyle w:val="InfoSections"/>
      </w:pPr>
      <w:r>
        <w:t>Security Assessments</w:t>
      </w:r>
    </w:p>
    <w:p w14:paraId="54068DF4" w14:textId="352D4A53" w:rsidR="00B925C7" w:rsidRDefault="00B925C7" w:rsidP="00B925C7">
      <w:pPr>
        <w:pStyle w:val="ParagraphSections"/>
      </w:pPr>
      <w:r w:rsidRPr="00B925C7">
        <w:t xml:space="preserve">The </w:t>
      </w:r>
      <w:sdt>
        <w:sdtPr>
          <w:alias w:val="Organization Name"/>
          <w:tag w:val="Organization Name"/>
          <w:id w:val="-1493552867"/>
          <w:placeholder>
            <w:docPart w:val="77A4A0F618264813A92598350BE8CBED"/>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E3C8443" w14:textId="3D447F00" w:rsidR="00B925C7" w:rsidRDefault="00B925C7" w:rsidP="00B925C7">
      <w:pPr>
        <w:pStyle w:val="Bullets"/>
        <w:numPr>
          <w:ilvl w:val="0"/>
          <w:numId w:val="71"/>
        </w:numPr>
      </w:pPr>
      <w:r w:rsidRPr="00B925C7">
        <w:t>Develop a security assessment plan that describes the scope of the assessment including:</w:t>
      </w:r>
    </w:p>
    <w:p w14:paraId="1B1F1F7E" w14:textId="77777777" w:rsidR="00B925C7" w:rsidRDefault="00B925C7" w:rsidP="00B925C7">
      <w:pPr>
        <w:pStyle w:val="Bullets"/>
        <w:numPr>
          <w:ilvl w:val="1"/>
          <w:numId w:val="71"/>
        </w:numPr>
      </w:pPr>
      <w:r>
        <w:t>Security controls and control enhancements under assessment.</w:t>
      </w:r>
    </w:p>
    <w:p w14:paraId="1407F3D3" w14:textId="77777777" w:rsidR="00B925C7" w:rsidRDefault="00B925C7" w:rsidP="00B925C7">
      <w:pPr>
        <w:pStyle w:val="Bullets"/>
        <w:numPr>
          <w:ilvl w:val="1"/>
          <w:numId w:val="71"/>
        </w:numPr>
      </w:pPr>
      <w:r>
        <w:t>Assessment procedures to be used to determine security control effectiveness.</w:t>
      </w:r>
    </w:p>
    <w:p w14:paraId="4A1C75CD" w14:textId="1021B155" w:rsidR="00B925C7" w:rsidRDefault="00B925C7" w:rsidP="00B925C7">
      <w:pPr>
        <w:pStyle w:val="Bullets"/>
        <w:numPr>
          <w:ilvl w:val="1"/>
          <w:numId w:val="71"/>
        </w:numPr>
      </w:pPr>
      <w:r>
        <w:t>Assessment environment, assessment team, and assessment roles and responsibilities.</w:t>
      </w:r>
    </w:p>
    <w:p w14:paraId="5267C205" w14:textId="6EA39A0C" w:rsidR="00B925C7" w:rsidRDefault="00B925C7" w:rsidP="00B925C7">
      <w:pPr>
        <w:pStyle w:val="Bullets"/>
        <w:numPr>
          <w:ilvl w:val="0"/>
          <w:numId w:val="71"/>
        </w:numPr>
      </w:pPr>
      <w:r>
        <w:lastRenderedPageBreak/>
        <w:t xml:space="preserve">Assess the security controls in the information system and its environment of operation </w:t>
      </w:r>
      <w:r w:rsidR="000B2933" w:rsidRPr="000B2933">
        <w:t>quarterly or semi-annually</w:t>
      </w:r>
      <w:r w:rsidR="000B2933">
        <w:t xml:space="preserve"> </w:t>
      </w:r>
      <w:r>
        <w:t>to determine the extent to which the controls are implemented correctly, operating as intended, and producing the desired outcome with respect to meeting established security requirements.</w:t>
      </w:r>
    </w:p>
    <w:p w14:paraId="718B1A06" w14:textId="77777777" w:rsidR="00B925C7" w:rsidRDefault="00B925C7" w:rsidP="00B925C7">
      <w:pPr>
        <w:pStyle w:val="Bullets"/>
        <w:numPr>
          <w:ilvl w:val="0"/>
          <w:numId w:val="71"/>
        </w:numPr>
      </w:pPr>
      <w:r>
        <w:t>Produce a security assessment report that documents the results of the assessment.</w:t>
      </w:r>
    </w:p>
    <w:p w14:paraId="30D93E6F" w14:textId="00723AB7" w:rsidR="00B925C7" w:rsidRDefault="00B925C7" w:rsidP="00B925C7">
      <w:pPr>
        <w:pStyle w:val="Bullets"/>
        <w:numPr>
          <w:ilvl w:val="0"/>
          <w:numId w:val="71"/>
        </w:numPr>
      </w:pPr>
      <w:r>
        <w:t xml:space="preserve">Provide the results of the security control assessment to </w:t>
      </w:r>
      <w:r w:rsidRPr="00CC1F5B">
        <w:rPr>
          <w:color w:val="FF0000"/>
        </w:rPr>
        <w:t>[Authority]</w:t>
      </w:r>
      <w:r>
        <w:t>.</w:t>
      </w:r>
    </w:p>
    <w:p w14:paraId="23F36CAC" w14:textId="2F07CA7C" w:rsidR="00B925C7" w:rsidRDefault="00B925C7" w:rsidP="00B925C7">
      <w:pPr>
        <w:pStyle w:val="InfoSections"/>
      </w:pPr>
      <w:r w:rsidRPr="00B925C7">
        <w:t>System Interconnections</w:t>
      </w:r>
    </w:p>
    <w:p w14:paraId="3775C964" w14:textId="77777777" w:rsidR="00B925C7" w:rsidRDefault="00B925C7" w:rsidP="00B925C7">
      <w:pPr>
        <w:pStyle w:val="ParagraphSections"/>
      </w:pPr>
      <w:r w:rsidRPr="00B925C7">
        <w:t xml:space="preserve">The </w:t>
      </w:r>
      <w:sdt>
        <w:sdtPr>
          <w:alias w:val="Organization Name"/>
          <w:tag w:val="Organization Name"/>
          <w:id w:val="1404171060"/>
          <w:placeholder>
            <w:docPart w:val="CD2A00B6F6A44D608F9049B87BDC6CA5"/>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78A26FBC" w14:textId="77777777" w:rsidR="00B925C7" w:rsidRDefault="00B925C7" w:rsidP="00B925C7">
      <w:pPr>
        <w:pStyle w:val="Bullets"/>
        <w:numPr>
          <w:ilvl w:val="0"/>
          <w:numId w:val="72"/>
        </w:numPr>
      </w:pPr>
      <w:r>
        <w:t xml:space="preserve">Authorize connections from the information system to other information systems </w:t>
      </w:r>
      <w:proofErr w:type="gramStart"/>
      <w:r>
        <w:t>through the use of</w:t>
      </w:r>
      <w:proofErr w:type="gramEnd"/>
      <w:r>
        <w:t xml:space="preserve"> Interconnection Security Agreements.</w:t>
      </w:r>
    </w:p>
    <w:p w14:paraId="0AA57397" w14:textId="77777777" w:rsidR="00B925C7" w:rsidRDefault="00B925C7" w:rsidP="00B925C7">
      <w:pPr>
        <w:pStyle w:val="Bullets"/>
        <w:numPr>
          <w:ilvl w:val="0"/>
          <w:numId w:val="72"/>
        </w:numPr>
      </w:pPr>
      <w:r>
        <w:t>Document, for each interconnection, the interface characteristics, security requirements, and the nature of the information communicated.</w:t>
      </w:r>
    </w:p>
    <w:p w14:paraId="085017BD" w14:textId="77E33A95" w:rsidR="00B925C7" w:rsidRDefault="00B925C7" w:rsidP="00B925C7">
      <w:pPr>
        <w:pStyle w:val="Bullets"/>
        <w:numPr>
          <w:ilvl w:val="0"/>
          <w:numId w:val="72"/>
        </w:numPr>
      </w:pPr>
      <w:r>
        <w:t xml:space="preserve">Review and update Interconnection Security Agreements </w:t>
      </w:r>
      <w:r w:rsidR="000B2933" w:rsidRPr="000B2933">
        <w:t>annually or as necessary</w:t>
      </w:r>
      <w:r>
        <w:t>. Entities must establish processes for the establishment, operation and, as appropriate, integration of log management systems.</w:t>
      </w:r>
    </w:p>
    <w:p w14:paraId="05EAD89F" w14:textId="3D9CEF54" w:rsidR="00B925C7" w:rsidRDefault="00B925C7" w:rsidP="00CC1F5B">
      <w:pPr>
        <w:pStyle w:val="Bullets"/>
        <w:numPr>
          <w:ilvl w:val="0"/>
          <w:numId w:val="72"/>
        </w:numPr>
        <w:spacing w:after="200"/>
      </w:pPr>
      <w:r>
        <w:t>Employ an allow-all, deny-by-exception, deny-all, permit-by-exception, policy for allowing</w:t>
      </w:r>
      <w:r w:rsidR="00561CDE">
        <w:t xml:space="preserve"> </w:t>
      </w:r>
      <w:r w:rsidR="00561CDE" w:rsidRPr="00561CDE">
        <w:t>critical and sensitive information systems</w:t>
      </w:r>
      <w:r>
        <w:t xml:space="preserve"> to connect to external information systems.</w:t>
      </w:r>
    </w:p>
    <w:p w14:paraId="3D856770" w14:textId="7A99D724" w:rsidR="00B925C7" w:rsidRDefault="00B925C7" w:rsidP="00B925C7">
      <w:pPr>
        <w:pStyle w:val="InfoSections"/>
      </w:pPr>
      <w:r w:rsidRPr="00B925C7">
        <w:t>Plan of Action and Milestones</w:t>
      </w:r>
    </w:p>
    <w:p w14:paraId="1E50B3F2" w14:textId="77777777" w:rsidR="00B925C7" w:rsidRDefault="00B925C7" w:rsidP="00B925C7">
      <w:pPr>
        <w:pStyle w:val="ParagraphSections"/>
      </w:pPr>
      <w:r w:rsidRPr="00B925C7">
        <w:t xml:space="preserve">The </w:t>
      </w:r>
      <w:sdt>
        <w:sdtPr>
          <w:alias w:val="Organization Name"/>
          <w:tag w:val="Organization Name"/>
          <w:id w:val="-813644442"/>
          <w:placeholder>
            <w:docPart w:val="DE402EDB037C4137B3E5EB7F6360CE26"/>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090D898" w14:textId="77777777" w:rsidR="00B925C7" w:rsidRDefault="00B925C7" w:rsidP="00B925C7">
      <w:pPr>
        <w:pStyle w:val="Bullets"/>
        <w:numPr>
          <w:ilvl w:val="0"/>
          <w:numId w:val="73"/>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6DDFFD38" w14:textId="2E80FDD9" w:rsidR="00B925C7" w:rsidRDefault="00B925C7" w:rsidP="00CC1F5B">
      <w:pPr>
        <w:pStyle w:val="Bullets"/>
        <w:numPr>
          <w:ilvl w:val="0"/>
          <w:numId w:val="73"/>
        </w:numPr>
        <w:spacing w:after="200"/>
      </w:pPr>
      <w:r>
        <w:t xml:space="preserve">Update existing plan of action and milestones </w:t>
      </w:r>
      <w:r w:rsidR="00561CDE" w:rsidRPr="00561CDE">
        <w:t>quarterly or after each significant assessment</w:t>
      </w:r>
      <w:r w:rsidR="00561CDE">
        <w:t xml:space="preserve"> </w:t>
      </w:r>
      <w:r>
        <w:t>based on the findings from security controls assessments, security impact analyses, and continuous monitoring activities.</w:t>
      </w:r>
    </w:p>
    <w:p w14:paraId="299C9A15" w14:textId="07EAE8BC" w:rsidR="00B925C7" w:rsidRDefault="00B925C7" w:rsidP="00B925C7">
      <w:pPr>
        <w:pStyle w:val="InfoSections"/>
      </w:pPr>
      <w:r w:rsidRPr="00B925C7">
        <w:t>Security Authorization</w:t>
      </w:r>
    </w:p>
    <w:p w14:paraId="1060CCC6" w14:textId="77777777" w:rsidR="00B925C7" w:rsidRDefault="00B925C7" w:rsidP="00B925C7">
      <w:pPr>
        <w:pStyle w:val="ParagraphSections"/>
      </w:pPr>
      <w:r w:rsidRPr="00B925C7">
        <w:t xml:space="preserve">The </w:t>
      </w:r>
      <w:sdt>
        <w:sdtPr>
          <w:alias w:val="Organization Name"/>
          <w:tag w:val="Organization Name"/>
          <w:id w:val="-1631085261"/>
          <w:placeholder>
            <w:docPart w:val="4F68091C8C484B329A44B9AB25DCE925"/>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40F6848" w14:textId="77777777" w:rsidR="00B925C7" w:rsidRDefault="00B925C7" w:rsidP="00B925C7">
      <w:pPr>
        <w:pStyle w:val="Bullets"/>
        <w:numPr>
          <w:ilvl w:val="0"/>
          <w:numId w:val="74"/>
        </w:numPr>
      </w:pPr>
      <w:r>
        <w:t>Assign a senior-level executive or manager as the authorizing official for the information system.</w:t>
      </w:r>
    </w:p>
    <w:p w14:paraId="1E205F69" w14:textId="77777777" w:rsidR="00B925C7" w:rsidRDefault="00B925C7" w:rsidP="00B925C7">
      <w:pPr>
        <w:pStyle w:val="Bullets"/>
        <w:numPr>
          <w:ilvl w:val="0"/>
          <w:numId w:val="74"/>
        </w:numPr>
      </w:pPr>
      <w:r>
        <w:t>Ensure that the authorizing official authorizes the information system for processing before commencing operations.</w:t>
      </w:r>
    </w:p>
    <w:p w14:paraId="3CA3435F" w14:textId="53801FFF" w:rsidR="00B925C7" w:rsidRDefault="00B925C7" w:rsidP="00CC1F5B">
      <w:pPr>
        <w:pStyle w:val="Bullets"/>
        <w:numPr>
          <w:ilvl w:val="0"/>
          <w:numId w:val="74"/>
        </w:numPr>
        <w:spacing w:after="200"/>
      </w:pPr>
      <w:r>
        <w:t>Update the security authorization</w:t>
      </w:r>
      <w:r w:rsidR="00561CDE">
        <w:t xml:space="preserve"> </w:t>
      </w:r>
      <w:r w:rsidR="00561CDE" w:rsidRPr="00561CDE">
        <w:t>annually or whenever there are significant changes to the system</w:t>
      </w:r>
      <w:r>
        <w:t>.</w:t>
      </w:r>
    </w:p>
    <w:p w14:paraId="00ED77B6" w14:textId="548852EA" w:rsidR="00B925C7" w:rsidRDefault="00B925C7" w:rsidP="00B925C7">
      <w:pPr>
        <w:pStyle w:val="InfoSections"/>
      </w:pPr>
      <w:r w:rsidRPr="00B925C7">
        <w:lastRenderedPageBreak/>
        <w:t>Continuous Monitoring</w:t>
      </w:r>
    </w:p>
    <w:p w14:paraId="6E0FD0F6" w14:textId="777970BE" w:rsidR="00B925C7" w:rsidRDefault="00B925C7" w:rsidP="00B925C7">
      <w:pPr>
        <w:pStyle w:val="ParagraphSections"/>
      </w:pPr>
      <w:r>
        <w:t xml:space="preserve">The </w:t>
      </w:r>
      <w:r w:rsidRPr="00B925C7">
        <w:rPr>
          <w:color w:val="FF0000"/>
        </w:rPr>
        <w:t>[Owner]</w:t>
      </w:r>
      <w:r>
        <w:t xml:space="preserve"> shall</w:t>
      </w:r>
      <w:r w:rsidR="00BD0603">
        <w:t xml:space="preserve"> d</w:t>
      </w:r>
      <w:r w:rsidR="00BD0603" w:rsidRPr="00BD0603">
        <w:t>evelop a continuous monitoring strategy and implement a continuous monitoring program that includes:</w:t>
      </w:r>
    </w:p>
    <w:p w14:paraId="109CD6EB" w14:textId="1C385D2C" w:rsidR="00BD0603" w:rsidRDefault="00BD0603" w:rsidP="00BD0603">
      <w:pPr>
        <w:pStyle w:val="Bullets"/>
        <w:numPr>
          <w:ilvl w:val="0"/>
          <w:numId w:val="75"/>
        </w:numPr>
      </w:pPr>
      <w:r>
        <w:t xml:space="preserve">Establishment of </w:t>
      </w:r>
      <w:r w:rsidR="00561CDE">
        <w:t xml:space="preserve">entity-defined </w:t>
      </w:r>
      <w:r w:rsidR="00561CDE" w:rsidRPr="00561CDE">
        <w:t>key performance indicators (KPIs) and security metrics</w:t>
      </w:r>
      <w:r w:rsidR="00561CDE">
        <w:t xml:space="preserve"> </w:t>
      </w:r>
      <w:r>
        <w:t>to be monitored.</w:t>
      </w:r>
    </w:p>
    <w:p w14:paraId="6BEDB535" w14:textId="32D3CA37" w:rsidR="00BD0603" w:rsidRDefault="00BD0603" w:rsidP="00BD0603">
      <w:pPr>
        <w:pStyle w:val="Bullets"/>
        <w:numPr>
          <w:ilvl w:val="0"/>
          <w:numId w:val="75"/>
        </w:numPr>
      </w:pPr>
      <w:r>
        <w:t xml:space="preserve">Establishment of </w:t>
      </w:r>
      <w:r w:rsidR="00561CDE" w:rsidRPr="00561CDE">
        <w:t>monthly monitoring frequencies and semi-annual assessment frequencies</w:t>
      </w:r>
      <w:r w:rsidR="00561CDE">
        <w:t xml:space="preserve"> </w:t>
      </w:r>
      <w:r>
        <w:t>supporting such monitoring.</w:t>
      </w:r>
    </w:p>
    <w:p w14:paraId="194DA92B" w14:textId="77777777" w:rsidR="00BD0603" w:rsidRDefault="00BD0603" w:rsidP="00BD0603">
      <w:pPr>
        <w:pStyle w:val="Bullets"/>
        <w:numPr>
          <w:ilvl w:val="0"/>
          <w:numId w:val="75"/>
        </w:numPr>
      </w:pPr>
      <w:r>
        <w:t>Ongoing security control assessments in accordance with the organizational continuous monitoring strategy.</w:t>
      </w:r>
    </w:p>
    <w:p w14:paraId="535F9449" w14:textId="77777777" w:rsidR="00BD0603" w:rsidRDefault="00BD0603" w:rsidP="00BD0603">
      <w:pPr>
        <w:pStyle w:val="Bullets"/>
        <w:numPr>
          <w:ilvl w:val="0"/>
          <w:numId w:val="75"/>
        </w:numPr>
      </w:pPr>
      <w:r>
        <w:t>Ongoing security status monitoring of organization-defined metrics in accordance with the organizational continuous monitoring strategy.</w:t>
      </w:r>
    </w:p>
    <w:p w14:paraId="14C8A12B" w14:textId="77777777" w:rsidR="00BD0603" w:rsidRDefault="00BD0603" w:rsidP="00BD0603">
      <w:pPr>
        <w:pStyle w:val="Bullets"/>
        <w:numPr>
          <w:ilvl w:val="0"/>
          <w:numId w:val="75"/>
        </w:numPr>
      </w:pPr>
      <w:r>
        <w:t>Correlation and analysis of security-related information generated by assessments and monitoring.</w:t>
      </w:r>
    </w:p>
    <w:p w14:paraId="6FDBB0A1" w14:textId="77777777" w:rsidR="00BD0603" w:rsidRDefault="00BD0603" w:rsidP="00BD0603">
      <w:pPr>
        <w:pStyle w:val="Bullets"/>
        <w:numPr>
          <w:ilvl w:val="0"/>
          <w:numId w:val="75"/>
        </w:numPr>
      </w:pPr>
      <w:r>
        <w:t>Response actions to address results of the analysis of security-related information.</w:t>
      </w:r>
    </w:p>
    <w:p w14:paraId="40A48D6A" w14:textId="00C908D7" w:rsidR="00B925C7" w:rsidRDefault="00BD0603" w:rsidP="00CC1F5B">
      <w:pPr>
        <w:pStyle w:val="Bullets"/>
        <w:numPr>
          <w:ilvl w:val="0"/>
          <w:numId w:val="75"/>
        </w:numPr>
        <w:spacing w:after="200"/>
      </w:pPr>
      <w:r>
        <w:t xml:space="preserve">Reporting the security status of organization and the information system to </w:t>
      </w:r>
      <w:r w:rsidR="00561CDE">
        <w:t>t</w:t>
      </w:r>
      <w:r w:rsidR="00561CDE" w:rsidRPr="00561CDE">
        <w:t>he</w:t>
      </w:r>
      <w:r w:rsidR="00561CDE">
        <w:t xml:space="preserve"> </w:t>
      </w:r>
      <w:r w:rsidR="00561CDE" w:rsidRPr="00561CDE">
        <w:rPr>
          <w:color w:val="FF0000"/>
        </w:rPr>
        <w:t>[Authority]</w:t>
      </w:r>
      <w:r w:rsidR="00561CDE" w:rsidRPr="00561CDE">
        <w:t xml:space="preserve"> senior management team or Board of Directors</w:t>
      </w:r>
      <w:r w:rsidR="00561CDE">
        <w:t xml:space="preserve"> </w:t>
      </w:r>
      <w:r w:rsidR="00561CDE" w:rsidRPr="00561CDE">
        <w:t>quarterly</w:t>
      </w:r>
      <w:r w:rsidR="00561CDE">
        <w:t>.</w:t>
      </w:r>
    </w:p>
    <w:p w14:paraId="1C23BDE9" w14:textId="7B949E2C" w:rsidR="00B925C7" w:rsidRDefault="00BD0603" w:rsidP="00BD0603">
      <w:pPr>
        <w:pStyle w:val="InfoSections"/>
      </w:pPr>
      <w:r>
        <w:t>Internal System Connections</w:t>
      </w:r>
    </w:p>
    <w:p w14:paraId="09B89CA9" w14:textId="73DD869C" w:rsidR="00BD0603" w:rsidRDefault="00BD0603" w:rsidP="00BD0603">
      <w:pPr>
        <w:pStyle w:val="ParagraphSections"/>
      </w:pPr>
      <w:r>
        <w:t xml:space="preserve">The </w:t>
      </w:r>
      <w:r w:rsidRPr="00B925C7">
        <w:rPr>
          <w:color w:val="FF0000"/>
        </w:rPr>
        <w:t>[Owner]</w:t>
      </w:r>
      <w:r>
        <w:t xml:space="preserve"> shall</w:t>
      </w:r>
      <w:r>
        <w:t>:</w:t>
      </w:r>
    </w:p>
    <w:p w14:paraId="781668CE" w14:textId="6382807D" w:rsidR="00BD0603" w:rsidRDefault="00BD0603" w:rsidP="00BD0603">
      <w:pPr>
        <w:pStyle w:val="Bullets"/>
        <w:numPr>
          <w:ilvl w:val="0"/>
          <w:numId w:val="76"/>
        </w:numPr>
      </w:pPr>
      <w:r>
        <w:t xml:space="preserve">Authorize internal connections of </w:t>
      </w:r>
      <w:r w:rsidR="00561CDE" w:rsidRPr="00561CDE">
        <w:t>specific system components such as servers, databases, and applications</w:t>
      </w:r>
      <w:r>
        <w:t xml:space="preserve"> to the information system.</w:t>
      </w:r>
    </w:p>
    <w:p w14:paraId="3B669501" w14:textId="0EBF9ECD" w:rsidR="00BD0603" w:rsidRPr="00B925C7" w:rsidRDefault="00BD0603" w:rsidP="00BD0603">
      <w:pPr>
        <w:pStyle w:val="Bullets"/>
        <w:numPr>
          <w:ilvl w:val="0"/>
          <w:numId w:val="76"/>
        </w:numPr>
      </w:pPr>
      <w:r>
        <w:t>Document, for each internal connection, the interface characteristics, security requirements, and the nature of the information communicated.</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BD0603">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BD0603">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BD0603">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BD0603">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59EEACAF" w14:textId="4789A87C" w:rsidR="00740885" w:rsidRPr="00A558A6" w:rsidRDefault="00740885" w:rsidP="0074088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34639123" w14:textId="1E37292F" w:rsidR="00740885" w:rsidRPr="00C26FD5" w:rsidRDefault="00740885" w:rsidP="00740885">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6AC3C434" w14:textId="08C584B9" w:rsidR="00740885" w:rsidRDefault="00740885" w:rsidP="00740885">
      <w:pPr>
        <w:autoSpaceDE w:val="0"/>
        <w:autoSpaceDN w:val="0"/>
        <w:adjustRightInd w:val="0"/>
        <w:ind w:right="450"/>
        <w:jc w:val="both"/>
        <w:rPr>
          <w:rFonts w:ascii="Arial" w:hAnsi="Arial" w:cs="Arial"/>
          <w:sz w:val="24"/>
          <w:szCs w:val="24"/>
        </w:rPr>
      </w:pPr>
      <w:hyperlink r:id="rId12"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734AEC95" w14:textId="065585CC" w:rsidR="00740885" w:rsidRDefault="00740885" w:rsidP="00740885">
      <w:pPr>
        <w:rPr>
          <w:rFonts w:ascii="Arial" w:hAnsi="Arial" w:cs="Arial"/>
          <w:sz w:val="24"/>
          <w:szCs w:val="24"/>
        </w:rPr>
      </w:pPr>
      <w:hyperlink r:id="rId13"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1C630D56" w14:textId="5985E90D" w:rsidR="00740885" w:rsidRDefault="00740885" w:rsidP="00740885">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w:t>
        </w:r>
        <w:proofErr w:type="gramStart"/>
        <w:r w:rsidRPr="00461E9E">
          <w:rPr>
            <w:rStyle w:val="Hyperlink"/>
            <w:rFonts w:ascii="Arial" w:hAnsi="Arial" w:cs="Arial"/>
            <w:sz w:val="24"/>
            <w:szCs w:val="24"/>
          </w:rPr>
          <w:t>for</w:t>
        </w:r>
        <w:proofErr w:type="gramEnd"/>
        <w:r w:rsidRPr="00461E9E">
          <w:rPr>
            <w:rStyle w:val="Hyperlink"/>
            <w:rFonts w:ascii="Arial" w:hAnsi="Arial" w:cs="Arial"/>
            <w:sz w:val="24"/>
            <w:szCs w:val="24"/>
          </w:rPr>
          <w:t xml:space="preserve"> Security and Privacy</w:t>
        </w:r>
      </w:hyperlink>
    </w:p>
    <w:p w14:paraId="1F0363CD" w14:textId="0C01AF61" w:rsidR="00740885" w:rsidRDefault="00740885" w:rsidP="00740885">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601874DB" w14:textId="3E5BD4C0" w:rsidR="00740885" w:rsidRDefault="00740885" w:rsidP="00740885">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2547D70B" w14:textId="49A262D3" w:rsidR="00740885" w:rsidRPr="001C04B4" w:rsidRDefault="00740885" w:rsidP="00740885">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2A15BC6C" w14:textId="77777777" w:rsidR="00740885" w:rsidRPr="00D4569B" w:rsidRDefault="00740885" w:rsidP="00D4569B">
      <w:pPr>
        <w:autoSpaceDE w:val="0"/>
        <w:autoSpaceDN w:val="0"/>
        <w:adjustRightInd w:val="0"/>
        <w:rPr>
          <w:rFonts w:ascii="Arial" w:hAnsi="Arial" w:cs="Arial"/>
          <w:sz w:val="24"/>
          <w:szCs w:val="24"/>
        </w:rPr>
      </w:pPr>
    </w:p>
    <w:sectPr w:rsidR="00740885" w:rsidRPr="00D4569B" w:rsidSect="00370ECE">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4320E" w14:textId="77777777" w:rsidR="006D4D70" w:rsidRDefault="006D4D70" w:rsidP="00D212FD">
      <w:pPr>
        <w:spacing w:after="0" w:line="240" w:lineRule="auto"/>
      </w:pPr>
      <w:r>
        <w:separator/>
      </w:r>
    </w:p>
  </w:endnote>
  <w:endnote w:type="continuationSeparator" w:id="0">
    <w:p w14:paraId="757D2ED4" w14:textId="77777777" w:rsidR="006D4D70" w:rsidRDefault="006D4D70" w:rsidP="00D212FD">
      <w:pPr>
        <w:spacing w:after="0" w:line="240" w:lineRule="auto"/>
      </w:pPr>
      <w:r>
        <w:continuationSeparator/>
      </w:r>
    </w:p>
  </w:endnote>
  <w:endnote w:type="continuationNotice" w:id="1">
    <w:p w14:paraId="1AE74FC1" w14:textId="77777777" w:rsidR="006D4D70" w:rsidRDefault="006D4D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FC3C0D0" w:rsidR="00BC124B" w:rsidRPr="00370ECE" w:rsidRDefault="005769CE">
    <w:pPr>
      <w:pStyle w:val="Footer"/>
      <w:rPr>
        <w:rFonts w:ascii="Arial" w:hAnsi="Arial" w:cs="Arial"/>
        <w:b/>
        <w:sz w:val="20"/>
        <w:szCs w:val="16"/>
      </w:rPr>
    </w:pPr>
    <w:r w:rsidRPr="005769CE">
      <w:rPr>
        <w:rFonts w:ascii="Arial" w:hAnsi="Arial" w:cs="Arial"/>
        <w:b/>
        <w:sz w:val="20"/>
        <w:szCs w:val="16"/>
      </w:rPr>
      <w:t>Security Assessment and Authorization</w:t>
    </w:r>
    <w:r>
      <w:rPr>
        <w:rFonts w:ascii="Arial" w:hAnsi="Arial" w:cs="Arial"/>
        <w:b/>
        <w:sz w:val="20"/>
        <w:szCs w:val="16"/>
      </w:rPr>
      <w:t xml:space="preserv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E2012" w14:textId="77777777" w:rsidR="006D4D70" w:rsidRDefault="006D4D70" w:rsidP="00D212FD">
      <w:pPr>
        <w:spacing w:after="0" w:line="240" w:lineRule="auto"/>
      </w:pPr>
      <w:r>
        <w:separator/>
      </w:r>
    </w:p>
  </w:footnote>
  <w:footnote w:type="continuationSeparator" w:id="0">
    <w:p w14:paraId="3EB5DABD" w14:textId="77777777" w:rsidR="006D4D70" w:rsidRDefault="006D4D70" w:rsidP="00D212FD">
      <w:pPr>
        <w:spacing w:after="0" w:line="240" w:lineRule="auto"/>
      </w:pPr>
      <w:r>
        <w:continuationSeparator/>
      </w:r>
    </w:p>
  </w:footnote>
  <w:footnote w:type="continuationNotice" w:id="1">
    <w:p w14:paraId="395751AF" w14:textId="77777777" w:rsidR="006D4D70" w:rsidRDefault="006D4D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4"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9"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9"/>
  </w:num>
  <w:num w:numId="2" w16cid:durableId="1514145562">
    <w:abstractNumId w:val="20"/>
  </w:num>
  <w:num w:numId="3" w16cid:durableId="225997702">
    <w:abstractNumId w:val="21"/>
  </w:num>
  <w:num w:numId="4" w16cid:durableId="1748962890">
    <w:abstractNumId w:val="72"/>
  </w:num>
  <w:num w:numId="5" w16cid:durableId="79567034">
    <w:abstractNumId w:val="23"/>
  </w:num>
  <w:num w:numId="6" w16cid:durableId="102041457">
    <w:abstractNumId w:val="36"/>
  </w:num>
  <w:num w:numId="7" w16cid:durableId="1957787226">
    <w:abstractNumId w:val="50"/>
  </w:num>
  <w:num w:numId="8" w16cid:durableId="1492454130">
    <w:abstractNumId w:val="63"/>
  </w:num>
  <w:num w:numId="9" w16cid:durableId="231932244">
    <w:abstractNumId w:val="53"/>
  </w:num>
  <w:num w:numId="10" w16cid:durableId="1594314303">
    <w:abstractNumId w:val="65"/>
  </w:num>
  <w:num w:numId="11" w16cid:durableId="587732204">
    <w:abstractNumId w:val="26"/>
  </w:num>
  <w:num w:numId="12" w16cid:durableId="791099340">
    <w:abstractNumId w:val="49"/>
  </w:num>
  <w:num w:numId="13" w16cid:durableId="192615054">
    <w:abstractNumId w:val="58"/>
  </w:num>
  <w:num w:numId="14" w16cid:durableId="1463234607">
    <w:abstractNumId w:val="71"/>
  </w:num>
  <w:num w:numId="15" w16cid:durableId="2078818769">
    <w:abstractNumId w:val="54"/>
  </w:num>
  <w:num w:numId="16" w16cid:durableId="424889611">
    <w:abstractNumId w:val="70"/>
  </w:num>
  <w:num w:numId="17" w16cid:durableId="298457807">
    <w:abstractNumId w:val="34"/>
  </w:num>
  <w:num w:numId="18" w16cid:durableId="1117681564">
    <w:abstractNumId w:val="13"/>
  </w:num>
  <w:num w:numId="19" w16cid:durableId="1963684235">
    <w:abstractNumId w:val="38"/>
  </w:num>
  <w:num w:numId="20" w16cid:durableId="2145417109">
    <w:abstractNumId w:val="16"/>
  </w:num>
  <w:num w:numId="21" w16cid:durableId="1112942345">
    <w:abstractNumId w:val="68"/>
  </w:num>
  <w:num w:numId="22" w16cid:durableId="2078552006">
    <w:abstractNumId w:val="1"/>
  </w:num>
  <w:num w:numId="23" w16cid:durableId="1321499760">
    <w:abstractNumId w:val="47"/>
  </w:num>
  <w:num w:numId="24" w16cid:durableId="840972350">
    <w:abstractNumId w:val="31"/>
  </w:num>
  <w:num w:numId="25" w16cid:durableId="754714813">
    <w:abstractNumId w:val="17"/>
  </w:num>
  <w:num w:numId="26" w16cid:durableId="235092744">
    <w:abstractNumId w:val="54"/>
  </w:num>
  <w:num w:numId="27" w16cid:durableId="964044067">
    <w:abstractNumId w:val="12"/>
  </w:num>
  <w:num w:numId="28" w16cid:durableId="459542745">
    <w:abstractNumId w:val="55"/>
  </w:num>
  <w:num w:numId="29" w16cid:durableId="1971202156">
    <w:abstractNumId w:val="55"/>
  </w:num>
  <w:num w:numId="30" w16cid:durableId="748649458">
    <w:abstractNumId w:val="5"/>
  </w:num>
  <w:num w:numId="31" w16cid:durableId="507451150">
    <w:abstractNumId w:val="67"/>
  </w:num>
  <w:num w:numId="32" w16cid:durableId="1251425206">
    <w:abstractNumId w:val="9"/>
  </w:num>
  <w:num w:numId="33" w16cid:durableId="1719548277">
    <w:abstractNumId w:val="0"/>
  </w:num>
  <w:num w:numId="34" w16cid:durableId="1884634594">
    <w:abstractNumId w:val="4"/>
  </w:num>
  <w:num w:numId="35" w16cid:durableId="1878809610">
    <w:abstractNumId w:val="57"/>
  </w:num>
  <w:num w:numId="36" w16cid:durableId="729882645">
    <w:abstractNumId w:val="33"/>
  </w:num>
  <w:num w:numId="37" w16cid:durableId="662511869">
    <w:abstractNumId w:val="15"/>
  </w:num>
  <w:num w:numId="38" w16cid:durableId="1314141274">
    <w:abstractNumId w:val="25"/>
  </w:num>
  <w:num w:numId="39" w16cid:durableId="163134697">
    <w:abstractNumId w:val="42"/>
  </w:num>
  <w:num w:numId="40" w16cid:durableId="90471875">
    <w:abstractNumId w:val="66"/>
  </w:num>
  <w:num w:numId="41" w16cid:durableId="872771505">
    <w:abstractNumId w:val="14"/>
  </w:num>
  <w:num w:numId="42" w16cid:durableId="1080102891">
    <w:abstractNumId w:val="62"/>
  </w:num>
  <w:num w:numId="43" w16cid:durableId="941651372">
    <w:abstractNumId w:val="28"/>
  </w:num>
  <w:num w:numId="44" w16cid:durableId="202984311">
    <w:abstractNumId w:val="30"/>
  </w:num>
  <w:num w:numId="45" w16cid:durableId="670764675">
    <w:abstractNumId w:val="18"/>
  </w:num>
  <w:num w:numId="46" w16cid:durableId="22899870">
    <w:abstractNumId w:val="46"/>
  </w:num>
  <w:num w:numId="47" w16cid:durableId="594897494">
    <w:abstractNumId w:val="43"/>
  </w:num>
  <w:num w:numId="48" w16cid:durableId="1046181208">
    <w:abstractNumId w:val="56"/>
  </w:num>
  <w:num w:numId="49" w16cid:durableId="527791583">
    <w:abstractNumId w:val="41"/>
  </w:num>
  <w:num w:numId="50" w16cid:durableId="809438784">
    <w:abstractNumId w:val="22"/>
  </w:num>
  <w:num w:numId="51" w16cid:durableId="1375276283">
    <w:abstractNumId w:val="60"/>
  </w:num>
  <w:num w:numId="52" w16cid:durableId="1118791430">
    <w:abstractNumId w:val="69"/>
  </w:num>
  <w:num w:numId="53" w16cid:durableId="906500447">
    <w:abstractNumId w:val="2"/>
  </w:num>
  <w:num w:numId="54" w16cid:durableId="604532487">
    <w:abstractNumId w:val="6"/>
  </w:num>
  <w:num w:numId="55" w16cid:durableId="1424229020">
    <w:abstractNumId w:val="44"/>
  </w:num>
  <w:num w:numId="56" w16cid:durableId="412050158">
    <w:abstractNumId w:val="3"/>
  </w:num>
  <w:num w:numId="57" w16cid:durableId="271741903">
    <w:abstractNumId w:val="35"/>
  </w:num>
  <w:num w:numId="58" w16cid:durableId="611715386">
    <w:abstractNumId w:val="29"/>
  </w:num>
  <w:num w:numId="59" w16cid:durableId="432014363">
    <w:abstractNumId w:val="24"/>
  </w:num>
  <w:num w:numId="60" w16cid:durableId="1357072833">
    <w:abstractNumId w:val="32"/>
  </w:num>
  <w:num w:numId="61" w16cid:durableId="1083916185">
    <w:abstractNumId w:val="48"/>
  </w:num>
  <w:num w:numId="62" w16cid:durableId="434599134">
    <w:abstractNumId w:val="37"/>
  </w:num>
  <w:num w:numId="63" w16cid:durableId="1906333805">
    <w:abstractNumId w:val="10"/>
  </w:num>
  <w:num w:numId="64" w16cid:durableId="2007323139">
    <w:abstractNumId w:val="48"/>
  </w:num>
  <w:num w:numId="65" w16cid:durableId="1117287286">
    <w:abstractNumId w:val="8"/>
  </w:num>
  <w:num w:numId="66" w16cid:durableId="2034106498">
    <w:abstractNumId w:val="39"/>
  </w:num>
  <w:num w:numId="67" w16cid:durableId="828251500">
    <w:abstractNumId w:val="61"/>
  </w:num>
  <w:num w:numId="68" w16cid:durableId="1879971182">
    <w:abstractNumId w:val="52"/>
  </w:num>
  <w:num w:numId="69" w16cid:durableId="757793527">
    <w:abstractNumId w:val="64"/>
  </w:num>
  <w:num w:numId="70" w16cid:durableId="266739948">
    <w:abstractNumId w:val="45"/>
  </w:num>
  <w:num w:numId="71" w16cid:durableId="157355603">
    <w:abstractNumId w:val="40"/>
  </w:num>
  <w:num w:numId="72" w16cid:durableId="1820656487">
    <w:abstractNumId w:val="51"/>
  </w:num>
  <w:num w:numId="73" w16cid:durableId="651760037">
    <w:abstractNumId w:val="27"/>
  </w:num>
  <w:num w:numId="74" w16cid:durableId="249898313">
    <w:abstractNumId w:val="7"/>
  </w:num>
  <w:num w:numId="75" w16cid:durableId="652107625">
    <w:abstractNumId w:val="11"/>
  </w:num>
  <w:num w:numId="76" w16cid:durableId="201471704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54DE"/>
    <w:rsid w:val="005674FF"/>
    <w:rsid w:val="00567699"/>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31B6"/>
    <w:rsid w:val="00C966B0"/>
    <w:rsid w:val="00C97C8F"/>
    <w:rsid w:val="00CA7724"/>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8FB"/>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53/a/r5/fina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src.nist.gov/pubs/sp/800/92/final" TargetMode="External"/><Relationship Id="rId17" Type="http://schemas.openxmlformats.org/officeDocument/2006/relationships/hyperlink" Target="https://csrc.nist.gov/pubs/sp/800/137/final" TargetMode="External"/><Relationship Id="rId2" Type="http://schemas.openxmlformats.org/officeDocument/2006/relationships/customXml" Target="../customXml/item2.xml"/><Relationship Id="rId16" Type="http://schemas.openxmlformats.org/officeDocument/2006/relationships/hyperlink" Target="https://csrc.nist.gov/pubs/sp/800/115/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hyperlink" Target="https://csrc.nist.gov/pubs/sp/800/47/r1/fina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37/r2/fina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00000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50D96C0F4DBD400AACFDB29CA089F0D7"/>
        <w:category>
          <w:name w:val="General"/>
          <w:gallery w:val="placeholder"/>
        </w:category>
        <w:types>
          <w:type w:val="bbPlcHdr"/>
        </w:types>
        <w:behaviors>
          <w:behavior w:val="content"/>
        </w:behaviors>
        <w:guid w:val="{285F1985-0C86-4418-93B2-EE9CF06F9B47}"/>
      </w:docPartPr>
      <w:docPartBody>
        <w:p w:rsidR="00000000" w:rsidRDefault="00A0480E" w:rsidP="00A0480E">
          <w:pPr>
            <w:pStyle w:val="50D96C0F4DBD400AACFDB29CA089F0D7"/>
          </w:pPr>
          <w:r w:rsidRPr="0051200E">
            <w:rPr>
              <w:rFonts w:ascii="Arial" w:hAnsi="Arial" w:cs="Arial"/>
            </w:rPr>
            <w:t>[</w:t>
          </w:r>
          <w:r w:rsidRPr="0051200E">
            <w:rPr>
              <w:rStyle w:val="PlaceholderText"/>
              <w:rFonts w:ascii="Arial" w:hAnsi="Arial" w:cs="Arial"/>
            </w:rPr>
            <w:t>Organization Name]</w:t>
          </w:r>
        </w:p>
      </w:docPartBody>
    </w:docPart>
    <w:docPart>
      <w:docPartPr>
        <w:name w:val="77A4A0F618264813A92598350BE8CBED"/>
        <w:category>
          <w:name w:val="General"/>
          <w:gallery w:val="placeholder"/>
        </w:category>
        <w:types>
          <w:type w:val="bbPlcHdr"/>
        </w:types>
        <w:behaviors>
          <w:behavior w:val="content"/>
        </w:behaviors>
        <w:guid w:val="{151AA1B1-3F12-419A-9068-1C5D2A143F56}"/>
      </w:docPartPr>
      <w:docPartBody>
        <w:p w:rsidR="00000000" w:rsidRDefault="00A0480E" w:rsidP="00A0480E">
          <w:pPr>
            <w:pStyle w:val="77A4A0F618264813A92598350BE8CBED"/>
          </w:pPr>
          <w:r w:rsidRPr="0051200E">
            <w:rPr>
              <w:rFonts w:ascii="Arial" w:hAnsi="Arial" w:cs="Arial"/>
            </w:rPr>
            <w:t>[</w:t>
          </w:r>
          <w:r w:rsidRPr="0051200E">
            <w:rPr>
              <w:rStyle w:val="PlaceholderText"/>
              <w:rFonts w:ascii="Arial" w:hAnsi="Arial" w:cs="Arial"/>
            </w:rPr>
            <w:t>Organization Name]</w:t>
          </w:r>
        </w:p>
      </w:docPartBody>
    </w:docPart>
    <w:docPart>
      <w:docPartPr>
        <w:name w:val="CD2A00B6F6A44D608F9049B87BDC6CA5"/>
        <w:category>
          <w:name w:val="General"/>
          <w:gallery w:val="placeholder"/>
        </w:category>
        <w:types>
          <w:type w:val="bbPlcHdr"/>
        </w:types>
        <w:behaviors>
          <w:behavior w:val="content"/>
        </w:behaviors>
        <w:guid w:val="{49BCD860-1B6B-423B-9865-FA9B56AAC65F}"/>
      </w:docPartPr>
      <w:docPartBody>
        <w:p w:rsidR="00000000" w:rsidRDefault="00A0480E" w:rsidP="00A0480E">
          <w:pPr>
            <w:pStyle w:val="CD2A00B6F6A44D608F9049B87BDC6CA5"/>
          </w:pPr>
          <w:r w:rsidRPr="0051200E">
            <w:rPr>
              <w:rFonts w:ascii="Arial" w:hAnsi="Arial" w:cs="Arial"/>
            </w:rPr>
            <w:t>[</w:t>
          </w:r>
          <w:r w:rsidRPr="0051200E">
            <w:rPr>
              <w:rStyle w:val="PlaceholderText"/>
              <w:rFonts w:ascii="Arial" w:hAnsi="Arial" w:cs="Arial"/>
            </w:rPr>
            <w:t>Organization Name]</w:t>
          </w:r>
        </w:p>
      </w:docPartBody>
    </w:docPart>
    <w:docPart>
      <w:docPartPr>
        <w:name w:val="DE402EDB037C4137B3E5EB7F6360CE26"/>
        <w:category>
          <w:name w:val="General"/>
          <w:gallery w:val="placeholder"/>
        </w:category>
        <w:types>
          <w:type w:val="bbPlcHdr"/>
        </w:types>
        <w:behaviors>
          <w:behavior w:val="content"/>
        </w:behaviors>
        <w:guid w:val="{94910B43-923E-406A-9A8D-DCC1834CBC2A}"/>
      </w:docPartPr>
      <w:docPartBody>
        <w:p w:rsidR="00000000" w:rsidRDefault="00A0480E" w:rsidP="00A0480E">
          <w:pPr>
            <w:pStyle w:val="DE402EDB037C4137B3E5EB7F6360CE26"/>
          </w:pPr>
          <w:r w:rsidRPr="0051200E">
            <w:rPr>
              <w:rFonts w:ascii="Arial" w:hAnsi="Arial" w:cs="Arial"/>
            </w:rPr>
            <w:t>[</w:t>
          </w:r>
          <w:r w:rsidRPr="0051200E">
            <w:rPr>
              <w:rStyle w:val="PlaceholderText"/>
              <w:rFonts w:ascii="Arial" w:hAnsi="Arial" w:cs="Arial"/>
            </w:rPr>
            <w:t>Organization Name]</w:t>
          </w:r>
        </w:p>
      </w:docPartBody>
    </w:docPart>
    <w:docPart>
      <w:docPartPr>
        <w:name w:val="4F68091C8C484B329A44B9AB25DCE925"/>
        <w:category>
          <w:name w:val="General"/>
          <w:gallery w:val="placeholder"/>
        </w:category>
        <w:types>
          <w:type w:val="bbPlcHdr"/>
        </w:types>
        <w:behaviors>
          <w:behavior w:val="content"/>
        </w:behaviors>
        <w:guid w:val="{EC1D0383-C4D3-45A9-A90E-F444CC2DF24F}"/>
      </w:docPartPr>
      <w:docPartBody>
        <w:p w:rsidR="00000000" w:rsidRDefault="00A0480E" w:rsidP="00A0480E">
          <w:pPr>
            <w:pStyle w:val="4F68091C8C484B329A44B9AB25DCE925"/>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31331"/>
    <w:rsid w:val="002D554D"/>
    <w:rsid w:val="003E26C0"/>
    <w:rsid w:val="00590B50"/>
    <w:rsid w:val="005A0CCC"/>
    <w:rsid w:val="00603186"/>
    <w:rsid w:val="00756219"/>
    <w:rsid w:val="007B6361"/>
    <w:rsid w:val="008F60AB"/>
    <w:rsid w:val="0096366A"/>
    <w:rsid w:val="009822FE"/>
    <w:rsid w:val="00A0480E"/>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80E"/>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50D96C0F4DBD400AACFDB29CA089F0D7">
    <w:name w:val="50D96C0F4DBD400AACFDB29CA089F0D7"/>
    <w:rsid w:val="00A0480E"/>
  </w:style>
  <w:style w:type="paragraph" w:customStyle="1" w:styleId="77A4A0F618264813A92598350BE8CBED">
    <w:name w:val="77A4A0F618264813A92598350BE8CBED"/>
    <w:rsid w:val="00A0480E"/>
  </w:style>
  <w:style w:type="paragraph" w:customStyle="1" w:styleId="CD2A00B6F6A44D608F9049B87BDC6CA5">
    <w:name w:val="CD2A00B6F6A44D608F9049B87BDC6CA5"/>
    <w:rsid w:val="00A0480E"/>
  </w:style>
  <w:style w:type="paragraph" w:customStyle="1" w:styleId="5B05D0C5AE9543089E68799E8FC4AF74">
    <w:name w:val="5B05D0C5AE9543089E68799E8FC4AF74"/>
    <w:rsid w:val="00A0480E"/>
  </w:style>
  <w:style w:type="paragraph" w:customStyle="1" w:styleId="DE402EDB037C4137B3E5EB7F6360CE26">
    <w:name w:val="DE402EDB037C4137B3E5EB7F6360CE26"/>
    <w:rsid w:val="00A0480E"/>
  </w:style>
  <w:style w:type="paragraph" w:customStyle="1" w:styleId="4F68091C8C484B329A44B9AB25DCE925">
    <w:name w:val="4F68091C8C484B329A44B9AB25DCE925"/>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52</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12</cp:revision>
  <dcterms:created xsi:type="dcterms:W3CDTF">2024-10-26T19:11:00Z</dcterms:created>
  <dcterms:modified xsi:type="dcterms:W3CDTF">2024-10-26T20:09:00Z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