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137B9D" w:rsidRPr="00D62A1C" w14:paraId="59838252" w14:textId="77777777" w:rsidTr="002E60C4">
        <w:trPr>
          <w:trHeight w:val="713"/>
        </w:trPr>
        <w:tc>
          <w:tcPr>
            <w:tcW w:w="5328" w:type="dxa"/>
            <w:shd w:val="clear" w:color="auto" w:fill="auto"/>
          </w:tcPr>
          <w:p w14:paraId="12549809" w14:textId="77777777" w:rsidR="00137B9D" w:rsidRPr="00351561" w:rsidRDefault="00137B9D" w:rsidP="002E60C4">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52594262" w14:textId="77777777" w:rsidR="00137B9D" w:rsidRPr="003325C1" w:rsidRDefault="00137B9D" w:rsidP="002E60C4">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45549922" w14:textId="77777777" w:rsidR="00137B9D" w:rsidRPr="003325C1" w:rsidRDefault="00137B9D" w:rsidP="002E60C4">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137B9D" w:rsidRPr="00D62A1C" w14:paraId="4FB341FE" w14:textId="77777777" w:rsidTr="002E60C4">
        <w:trPr>
          <w:trHeight w:val="617"/>
        </w:trPr>
        <w:tc>
          <w:tcPr>
            <w:tcW w:w="5328" w:type="dxa"/>
            <w:vMerge w:val="restart"/>
            <w:shd w:val="clear" w:color="auto" w:fill="auto"/>
          </w:tcPr>
          <w:p w14:paraId="252B5CE1" w14:textId="77777777" w:rsidR="00137B9D" w:rsidRPr="003325C1" w:rsidRDefault="00137B9D" w:rsidP="002E60C4">
            <w:pPr>
              <w:spacing w:after="0" w:line="240" w:lineRule="auto"/>
              <w:jc w:val="center"/>
              <w:rPr>
                <w:rFonts w:ascii="Arial" w:hAnsi="Arial" w:cs="Arial"/>
                <w:sz w:val="24"/>
                <w:szCs w:val="40"/>
              </w:rPr>
            </w:pPr>
          </w:p>
          <w:p w14:paraId="0B96FC75" w14:textId="77777777" w:rsidR="00137B9D" w:rsidRPr="003325C1" w:rsidRDefault="00137B9D" w:rsidP="002E60C4">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3A5FCA61" w14:textId="77777777" w:rsidR="00137B9D" w:rsidRPr="003325C1" w:rsidRDefault="00137B9D" w:rsidP="002E60C4">
            <w:pPr>
              <w:spacing w:after="0" w:line="240" w:lineRule="auto"/>
              <w:jc w:val="center"/>
              <w:rPr>
                <w:rFonts w:ascii="Arial" w:hAnsi="Arial" w:cs="Arial"/>
                <w:sz w:val="24"/>
                <w:szCs w:val="40"/>
              </w:rPr>
            </w:pPr>
          </w:p>
          <w:p w14:paraId="07E3B5B9" w14:textId="48BEAF55" w:rsidR="00137B9D" w:rsidRPr="003325C1" w:rsidRDefault="00137B9D" w:rsidP="002E60C4">
            <w:pPr>
              <w:spacing w:after="240" w:line="240" w:lineRule="auto"/>
              <w:jc w:val="center"/>
              <w:rPr>
                <w:rFonts w:ascii="Arial" w:hAnsi="Arial" w:cs="Arial"/>
                <w:b/>
                <w:sz w:val="52"/>
                <w:szCs w:val="52"/>
              </w:rPr>
            </w:pPr>
            <w:r>
              <w:rPr>
                <w:rFonts w:ascii="Arial" w:hAnsi="Arial" w:cs="Arial"/>
                <w:b/>
                <w:sz w:val="40"/>
              </w:rPr>
              <w:t>Planning Policy</w:t>
            </w:r>
          </w:p>
        </w:tc>
        <w:tc>
          <w:tcPr>
            <w:tcW w:w="4837" w:type="dxa"/>
            <w:vAlign w:val="center"/>
          </w:tcPr>
          <w:p w14:paraId="45BF1C73" w14:textId="77777777" w:rsidR="00137B9D" w:rsidRPr="003325C1" w:rsidRDefault="00137B9D" w:rsidP="002E60C4">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137B9D" w:rsidRPr="00D62A1C" w14:paraId="6BE5EAC1" w14:textId="77777777" w:rsidTr="002E60C4">
        <w:trPr>
          <w:trHeight w:val="1517"/>
        </w:trPr>
        <w:tc>
          <w:tcPr>
            <w:tcW w:w="5328" w:type="dxa"/>
            <w:vMerge/>
            <w:shd w:val="clear" w:color="auto" w:fill="auto"/>
          </w:tcPr>
          <w:p w14:paraId="2AF77B6D" w14:textId="77777777" w:rsidR="00137B9D" w:rsidRPr="003325C1" w:rsidRDefault="00137B9D" w:rsidP="002E60C4">
            <w:pPr>
              <w:spacing w:after="0" w:line="240" w:lineRule="auto"/>
              <w:rPr>
                <w:rFonts w:ascii="Arial" w:hAnsi="Arial" w:cs="Arial"/>
              </w:rPr>
            </w:pPr>
          </w:p>
        </w:tc>
        <w:tc>
          <w:tcPr>
            <w:tcW w:w="4837" w:type="dxa"/>
          </w:tcPr>
          <w:p w14:paraId="7346C961" w14:textId="77777777" w:rsidR="00137B9D" w:rsidRPr="00C87DEF" w:rsidRDefault="00137B9D" w:rsidP="002E60C4">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7DA884B2" w14:textId="77777777" w:rsidR="00137B9D" w:rsidRPr="003325C1" w:rsidRDefault="00137B9D" w:rsidP="002E60C4">
            <w:pPr>
              <w:spacing w:after="0" w:line="240" w:lineRule="auto"/>
              <w:rPr>
                <w:rFonts w:ascii="Arial" w:hAnsi="Arial" w:cs="Arial"/>
                <w:sz w:val="24"/>
              </w:rPr>
            </w:pPr>
          </w:p>
          <w:p w14:paraId="44F7A79C" w14:textId="77777777" w:rsidR="00137B9D" w:rsidRPr="003325C1" w:rsidRDefault="00137B9D" w:rsidP="002E60C4">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61C9E9EC" w14:textId="77777777" w:rsidR="009409D5" w:rsidRPr="00E30A2D" w:rsidRDefault="009409D5" w:rsidP="009409D5">
      <w:pPr>
        <w:rPr>
          <w:rFonts w:ascii="Arial" w:hAnsi="Arial" w:cs="Arial"/>
          <w:sz w:val="24"/>
          <w:szCs w:val="24"/>
        </w:rPr>
      </w:pPr>
      <w:r w:rsidRPr="00E30A2D">
        <w:rPr>
          <w:rFonts w:ascii="Arial" w:hAnsi="Arial" w:cs="Arial"/>
          <w:sz w:val="24"/>
          <w:szCs w:val="24"/>
        </w:rPr>
        <w:t>To ensure that Information Technology (IT) resources and information systems are established with effective security controls and control enhancements that reflect applicable federal and state laws, Executive Orders, directives, regulations, policies, standards, and guidance.</w:t>
      </w:r>
    </w:p>
    <w:p w14:paraId="23F76A20" w14:textId="77777777"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5DB64800" w14:textId="77777777" w:rsidR="007A6D50" w:rsidRPr="00341FFE" w:rsidRDefault="007A6D50" w:rsidP="007A6D50">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0964CA9B" w14:textId="77777777" w:rsidR="00FD26A2" w:rsidRPr="00B81B99" w:rsidRDefault="00FD26A2" w:rsidP="00B81B99">
      <w:pPr>
        <w:pStyle w:val="Heading1"/>
        <w:rPr>
          <w:color w:val="auto"/>
        </w:rPr>
      </w:pPr>
      <w:r w:rsidRPr="00B81B99">
        <w:rPr>
          <w:color w:val="auto"/>
        </w:rPr>
        <w:t>3.0 Scope</w:t>
      </w:r>
    </w:p>
    <w:p w14:paraId="61EDBBEB" w14:textId="77777777" w:rsidR="007A6D50" w:rsidRDefault="007A6D50" w:rsidP="007A6D50">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the organization. </w:t>
      </w:r>
      <w:r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Pr>
          <w:rFonts w:ascii="Arial" w:hAnsi="Arial" w:cs="Arial"/>
          <w:sz w:val="24"/>
          <w:szCs w:val="24"/>
        </w:rPr>
        <w:t xml:space="preserve">organization’s </w:t>
      </w:r>
      <w:r w:rsidRPr="00042258">
        <w:rPr>
          <w:rFonts w:ascii="Arial" w:hAnsi="Arial" w:cs="Arial"/>
          <w:sz w:val="24"/>
          <w:szCs w:val="24"/>
        </w:rPr>
        <w:t>Information Security Policy and its associated standards.</w:t>
      </w:r>
    </w:p>
    <w:p w14:paraId="7D93B872" w14:textId="77777777" w:rsidR="00FD26A2"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75C9900B" w14:textId="6253CC35" w:rsidR="00B72542" w:rsidRPr="00B72542" w:rsidRDefault="00B72542" w:rsidP="00B72542">
      <w:pPr>
        <w:rPr>
          <w:rFonts w:ascii="Arial" w:hAnsi="Arial" w:cs="Arial"/>
          <w:sz w:val="24"/>
          <w:szCs w:val="24"/>
        </w:rPr>
      </w:pPr>
      <w:r w:rsidRPr="00B72542">
        <w:rPr>
          <w:rFonts w:ascii="Arial" w:hAnsi="Arial" w:cs="Arial"/>
          <w:sz w:val="24"/>
          <w:szCs w:val="24"/>
        </w:rPr>
        <w:t xml:space="preserve">This Planning Policy ensures that robust security practices are integrated into the organization's IT systems. It requires the </w:t>
      </w:r>
      <w:r w:rsidRPr="00B72542">
        <w:rPr>
          <w:rFonts w:ascii="Arial" w:hAnsi="Arial" w:cs="Arial"/>
          <w:color w:val="FF0000"/>
          <w:sz w:val="24"/>
          <w:szCs w:val="24"/>
        </w:rPr>
        <w:t>[owner]</w:t>
      </w:r>
      <w:r w:rsidRPr="00B72542">
        <w:rPr>
          <w:rFonts w:ascii="Arial" w:hAnsi="Arial" w:cs="Arial"/>
          <w:sz w:val="24"/>
          <w:szCs w:val="24"/>
        </w:rPr>
        <w:t xml:space="preserve"> to develop and maintain system security plans for each information system, outlining their security controls, operational context, and risk management strategies. These plans are reviewed and updated annually or as </w:t>
      </w:r>
      <w:r w:rsidRPr="00B72542">
        <w:rPr>
          <w:rFonts w:ascii="Arial" w:hAnsi="Arial" w:cs="Arial"/>
          <w:sz w:val="24"/>
          <w:szCs w:val="24"/>
        </w:rPr>
        <w:lastRenderedPageBreak/>
        <w:t>necessary to reflect changes in the system or environment. The policy also mandates the protection of security plans from unauthorized access.</w:t>
      </w:r>
    </w:p>
    <w:p w14:paraId="50A7F7D9" w14:textId="56EA8C33" w:rsidR="00B72542" w:rsidRPr="00B72542" w:rsidRDefault="00B72542" w:rsidP="00B72542">
      <w:pPr>
        <w:rPr>
          <w:rFonts w:ascii="Arial" w:hAnsi="Arial" w:cs="Arial"/>
          <w:sz w:val="24"/>
          <w:szCs w:val="24"/>
        </w:rPr>
      </w:pPr>
      <w:r>
        <w:rPr>
          <w:rFonts w:ascii="Arial" w:hAnsi="Arial" w:cs="Arial"/>
          <w:sz w:val="24"/>
          <w:szCs w:val="24"/>
        </w:rPr>
        <w:t>T</w:t>
      </w:r>
      <w:r w:rsidRPr="00B72542">
        <w:rPr>
          <w:rFonts w:ascii="Arial" w:hAnsi="Arial" w:cs="Arial"/>
          <w:sz w:val="24"/>
          <w:szCs w:val="24"/>
        </w:rPr>
        <w:t>he policy establishes rules of behavior for all individuals accessing information systems, requiring acknowledgment of these rules before access is granted. Information security architecture must align with the organization's enterprise architecture, incorporating a defense-in-depth approach to ensure layered security safeguards operate cohesively.</w:t>
      </w:r>
    </w:p>
    <w:p w14:paraId="196ACAB2" w14:textId="7555E930" w:rsidR="009409D5" w:rsidRPr="009409D5" w:rsidRDefault="009409D5"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System Security Plan</w:t>
      </w:r>
    </w:p>
    <w:p w14:paraId="18372B65" w14:textId="7D1E2826"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IT Department shall:</w:t>
      </w:r>
    </w:p>
    <w:p w14:paraId="1FE96969" w14:textId="4C507914" w:rsidR="009409D5" w:rsidRPr="009409D5" w:rsidRDefault="009409D5" w:rsidP="009409D5">
      <w:pPr>
        <w:numPr>
          <w:ilvl w:val="1"/>
          <w:numId w:val="33"/>
        </w:numPr>
        <w:spacing w:after="120" w:line="240" w:lineRule="auto"/>
        <w:ind w:left="806" w:right="446"/>
        <w:jc w:val="both"/>
        <w:rPr>
          <w:rFonts w:ascii="Arial" w:hAnsi="Arial" w:cs="Arial"/>
          <w:sz w:val="24"/>
          <w:szCs w:val="24"/>
        </w:rPr>
      </w:pPr>
      <w:r w:rsidRPr="009409D5">
        <w:rPr>
          <w:rFonts w:ascii="Arial" w:hAnsi="Arial" w:cs="Arial"/>
          <w:sz w:val="24"/>
          <w:szCs w:val="24"/>
        </w:rPr>
        <w:t>Develop a security plan for each information system that:</w:t>
      </w:r>
    </w:p>
    <w:p w14:paraId="1F18FB82" w14:textId="16389B51" w:rsidR="009409D5" w:rsidRDefault="009409D5" w:rsidP="009409D5">
      <w:pPr>
        <w:numPr>
          <w:ilvl w:val="0"/>
          <w:numId w:val="39"/>
        </w:numPr>
        <w:spacing w:after="120" w:line="240" w:lineRule="auto"/>
        <w:ind w:right="446"/>
        <w:jc w:val="both"/>
        <w:rPr>
          <w:rFonts w:ascii="Arial" w:hAnsi="Arial" w:cs="Arial"/>
          <w:sz w:val="24"/>
          <w:szCs w:val="24"/>
        </w:rPr>
      </w:pPr>
      <w:proofErr w:type="gramStart"/>
      <w:r w:rsidRPr="009409D5">
        <w:rPr>
          <w:rFonts w:ascii="Arial" w:hAnsi="Arial" w:cs="Arial"/>
          <w:sz w:val="24"/>
          <w:szCs w:val="24"/>
        </w:rPr>
        <w:t>Is</w:t>
      </w:r>
      <w:proofErr w:type="gramEnd"/>
      <w:r w:rsidRPr="009409D5">
        <w:rPr>
          <w:rFonts w:ascii="Arial" w:hAnsi="Arial" w:cs="Arial"/>
          <w:sz w:val="24"/>
          <w:szCs w:val="24"/>
        </w:rPr>
        <w:t xml:space="preserve"> consistent with the [entity’s] enterprise architecture.</w:t>
      </w:r>
    </w:p>
    <w:p w14:paraId="28CDE358" w14:textId="25835D8B" w:rsidR="009409D5" w:rsidRDefault="009409D5" w:rsidP="009409D5">
      <w:pPr>
        <w:numPr>
          <w:ilvl w:val="0"/>
          <w:numId w:val="39"/>
        </w:numPr>
        <w:spacing w:after="120" w:line="240" w:lineRule="auto"/>
        <w:ind w:right="446"/>
        <w:jc w:val="both"/>
        <w:rPr>
          <w:rFonts w:ascii="Arial" w:hAnsi="Arial" w:cs="Arial"/>
          <w:sz w:val="24"/>
          <w:szCs w:val="24"/>
        </w:rPr>
      </w:pPr>
      <w:r w:rsidRPr="009409D5">
        <w:rPr>
          <w:rFonts w:ascii="Arial" w:hAnsi="Arial" w:cs="Arial"/>
          <w:sz w:val="24"/>
          <w:szCs w:val="24"/>
        </w:rPr>
        <w:t>Defines explicitly the authorization boundary for the system.</w:t>
      </w:r>
    </w:p>
    <w:p w14:paraId="6D2AA727" w14:textId="3CD89D04" w:rsidR="009409D5" w:rsidRDefault="009409D5" w:rsidP="009409D5">
      <w:pPr>
        <w:numPr>
          <w:ilvl w:val="0"/>
          <w:numId w:val="39"/>
        </w:numPr>
        <w:spacing w:after="120" w:line="240" w:lineRule="auto"/>
        <w:ind w:right="446"/>
        <w:jc w:val="both"/>
        <w:rPr>
          <w:rFonts w:ascii="Arial" w:hAnsi="Arial" w:cs="Arial"/>
          <w:sz w:val="24"/>
          <w:szCs w:val="24"/>
        </w:rPr>
      </w:pPr>
      <w:r w:rsidRPr="009409D5">
        <w:rPr>
          <w:rFonts w:ascii="Arial" w:hAnsi="Arial" w:cs="Arial"/>
          <w:sz w:val="24"/>
          <w:szCs w:val="24"/>
        </w:rPr>
        <w:t>Describes the operational context of the information system in terms of missions and business processes.</w:t>
      </w:r>
    </w:p>
    <w:p w14:paraId="35AE477B" w14:textId="1C551CCB" w:rsidR="009409D5" w:rsidRDefault="009409D5" w:rsidP="009409D5">
      <w:pPr>
        <w:numPr>
          <w:ilvl w:val="0"/>
          <w:numId w:val="39"/>
        </w:numPr>
        <w:spacing w:after="120" w:line="240" w:lineRule="auto"/>
        <w:ind w:right="446"/>
        <w:jc w:val="both"/>
        <w:rPr>
          <w:rFonts w:ascii="Arial" w:hAnsi="Arial" w:cs="Arial"/>
          <w:sz w:val="24"/>
          <w:szCs w:val="24"/>
        </w:rPr>
      </w:pPr>
      <w:r w:rsidRPr="009409D5">
        <w:rPr>
          <w:rFonts w:ascii="Arial" w:hAnsi="Arial" w:cs="Arial"/>
          <w:sz w:val="24"/>
          <w:szCs w:val="24"/>
        </w:rPr>
        <w:t>Provides the security categorization of the information system including supporting rationale.</w:t>
      </w:r>
    </w:p>
    <w:p w14:paraId="4EC02ABC" w14:textId="178BC162" w:rsidR="009409D5" w:rsidRDefault="009409D5" w:rsidP="009409D5">
      <w:pPr>
        <w:numPr>
          <w:ilvl w:val="0"/>
          <w:numId w:val="39"/>
        </w:numPr>
        <w:spacing w:after="120" w:line="240" w:lineRule="auto"/>
        <w:ind w:right="446"/>
        <w:jc w:val="both"/>
        <w:rPr>
          <w:rFonts w:ascii="Arial" w:hAnsi="Arial" w:cs="Arial"/>
          <w:sz w:val="24"/>
          <w:szCs w:val="24"/>
        </w:rPr>
      </w:pPr>
      <w:r w:rsidRPr="009409D5">
        <w:rPr>
          <w:rFonts w:ascii="Arial" w:hAnsi="Arial" w:cs="Arial"/>
          <w:sz w:val="24"/>
          <w:szCs w:val="24"/>
        </w:rPr>
        <w:t>Describes the operational environment for the information system and relationships with or connections to other information systems.</w:t>
      </w:r>
    </w:p>
    <w:p w14:paraId="381CCFE2" w14:textId="23C2A58A" w:rsidR="009409D5" w:rsidRDefault="009409D5" w:rsidP="009409D5">
      <w:pPr>
        <w:numPr>
          <w:ilvl w:val="0"/>
          <w:numId w:val="39"/>
        </w:numPr>
        <w:spacing w:after="120" w:line="240" w:lineRule="auto"/>
        <w:ind w:right="446"/>
        <w:jc w:val="both"/>
        <w:rPr>
          <w:rFonts w:ascii="Arial" w:hAnsi="Arial" w:cs="Arial"/>
          <w:sz w:val="24"/>
          <w:szCs w:val="24"/>
        </w:rPr>
      </w:pPr>
      <w:r w:rsidRPr="009409D5">
        <w:rPr>
          <w:rFonts w:ascii="Arial" w:hAnsi="Arial" w:cs="Arial"/>
          <w:sz w:val="24"/>
          <w:szCs w:val="24"/>
        </w:rPr>
        <w:t>Provides an overview of the security requirements for the system.</w:t>
      </w:r>
    </w:p>
    <w:p w14:paraId="50E11338" w14:textId="44850B66" w:rsidR="009409D5" w:rsidRDefault="009409D5" w:rsidP="009409D5">
      <w:pPr>
        <w:numPr>
          <w:ilvl w:val="0"/>
          <w:numId w:val="39"/>
        </w:numPr>
        <w:spacing w:after="120" w:line="240" w:lineRule="auto"/>
        <w:ind w:right="446"/>
        <w:jc w:val="both"/>
        <w:rPr>
          <w:rFonts w:ascii="Arial" w:hAnsi="Arial" w:cs="Arial"/>
          <w:sz w:val="24"/>
          <w:szCs w:val="24"/>
        </w:rPr>
      </w:pPr>
      <w:proofErr w:type="gramStart"/>
      <w:r w:rsidRPr="009409D5">
        <w:rPr>
          <w:rFonts w:ascii="Arial" w:hAnsi="Arial" w:cs="Arial"/>
          <w:sz w:val="24"/>
          <w:szCs w:val="24"/>
        </w:rPr>
        <w:t>Identifies</w:t>
      </w:r>
      <w:proofErr w:type="gramEnd"/>
      <w:r w:rsidRPr="009409D5">
        <w:rPr>
          <w:rFonts w:ascii="Arial" w:hAnsi="Arial" w:cs="Arial"/>
          <w:sz w:val="24"/>
          <w:szCs w:val="24"/>
        </w:rPr>
        <w:t xml:space="preserve"> any relevant overlays, if applicable.</w:t>
      </w:r>
    </w:p>
    <w:p w14:paraId="5B1C6A77" w14:textId="5931218C" w:rsidR="009409D5" w:rsidRDefault="009409D5" w:rsidP="009409D5">
      <w:pPr>
        <w:numPr>
          <w:ilvl w:val="0"/>
          <w:numId w:val="39"/>
        </w:numPr>
        <w:spacing w:after="120" w:line="240" w:lineRule="auto"/>
        <w:ind w:right="446"/>
        <w:jc w:val="both"/>
        <w:rPr>
          <w:rFonts w:ascii="Arial" w:hAnsi="Arial" w:cs="Arial"/>
          <w:sz w:val="24"/>
          <w:szCs w:val="24"/>
        </w:rPr>
      </w:pPr>
      <w:r w:rsidRPr="009409D5">
        <w:rPr>
          <w:rFonts w:ascii="Arial" w:hAnsi="Arial" w:cs="Arial"/>
          <w:sz w:val="24"/>
          <w:szCs w:val="24"/>
        </w:rPr>
        <w:t>Describes the security controls in place or planned for meeting those requirements including a rationale for the tailoring decisions.</w:t>
      </w:r>
    </w:p>
    <w:p w14:paraId="1431C86C" w14:textId="7BEA4633" w:rsidR="009409D5" w:rsidRPr="009409D5" w:rsidRDefault="009409D5" w:rsidP="009409D5">
      <w:pPr>
        <w:numPr>
          <w:ilvl w:val="0"/>
          <w:numId w:val="39"/>
        </w:numPr>
        <w:spacing w:after="120" w:line="240" w:lineRule="auto"/>
        <w:ind w:right="446"/>
        <w:jc w:val="both"/>
        <w:rPr>
          <w:rFonts w:ascii="Arial" w:hAnsi="Arial" w:cs="Arial"/>
          <w:sz w:val="24"/>
          <w:szCs w:val="24"/>
        </w:rPr>
      </w:pPr>
      <w:proofErr w:type="gramStart"/>
      <w:r w:rsidRPr="009409D5">
        <w:rPr>
          <w:rFonts w:ascii="Arial" w:hAnsi="Arial" w:cs="Arial"/>
          <w:sz w:val="24"/>
          <w:szCs w:val="24"/>
        </w:rPr>
        <w:t>Is</w:t>
      </w:r>
      <w:proofErr w:type="gramEnd"/>
      <w:r w:rsidRPr="009409D5">
        <w:rPr>
          <w:rFonts w:ascii="Arial" w:hAnsi="Arial" w:cs="Arial"/>
          <w:sz w:val="24"/>
          <w:szCs w:val="24"/>
        </w:rPr>
        <w:t xml:space="preserve"> reviewed and approved by the authorizing official or designated representative prior to plan implementation.</w:t>
      </w:r>
    </w:p>
    <w:p w14:paraId="04351139" w14:textId="1BC396D3" w:rsidR="009409D5" w:rsidRDefault="009409D5" w:rsidP="00587924">
      <w:pPr>
        <w:numPr>
          <w:ilvl w:val="1"/>
          <w:numId w:val="33"/>
        </w:numPr>
        <w:spacing w:after="120" w:line="240" w:lineRule="auto"/>
        <w:ind w:left="806" w:right="446"/>
        <w:jc w:val="both"/>
        <w:rPr>
          <w:rFonts w:ascii="Arial" w:hAnsi="Arial" w:cs="Arial"/>
          <w:sz w:val="24"/>
          <w:szCs w:val="24"/>
        </w:rPr>
      </w:pPr>
      <w:r w:rsidRPr="009409D5">
        <w:rPr>
          <w:rFonts w:ascii="Arial" w:hAnsi="Arial" w:cs="Arial"/>
          <w:sz w:val="24"/>
          <w:szCs w:val="24"/>
        </w:rPr>
        <w:t>Distribute copies of the security plan and communicate subsequent changes to the plan to authorized personnel and/or business units.</w:t>
      </w:r>
    </w:p>
    <w:p w14:paraId="5396F38F" w14:textId="78B0CF9A" w:rsidR="009409D5" w:rsidRDefault="009409D5" w:rsidP="00587924">
      <w:pPr>
        <w:numPr>
          <w:ilvl w:val="1"/>
          <w:numId w:val="33"/>
        </w:numPr>
        <w:spacing w:after="120" w:line="240" w:lineRule="auto"/>
        <w:ind w:left="806" w:right="446"/>
        <w:jc w:val="both"/>
        <w:rPr>
          <w:rFonts w:ascii="Arial" w:hAnsi="Arial" w:cs="Arial"/>
          <w:sz w:val="24"/>
          <w:szCs w:val="24"/>
        </w:rPr>
      </w:pPr>
      <w:r w:rsidRPr="009409D5">
        <w:rPr>
          <w:rFonts w:ascii="Arial" w:hAnsi="Arial" w:cs="Arial"/>
          <w:sz w:val="24"/>
          <w:szCs w:val="24"/>
        </w:rPr>
        <w:t>Review the security plan for the information system at least annually.</w:t>
      </w:r>
    </w:p>
    <w:p w14:paraId="2F7C1596" w14:textId="2EB617F6" w:rsidR="009409D5" w:rsidRDefault="009409D5" w:rsidP="00587924">
      <w:pPr>
        <w:numPr>
          <w:ilvl w:val="1"/>
          <w:numId w:val="33"/>
        </w:numPr>
        <w:spacing w:after="120" w:line="240" w:lineRule="auto"/>
        <w:ind w:left="806" w:right="446"/>
        <w:jc w:val="both"/>
        <w:rPr>
          <w:rFonts w:ascii="Arial" w:hAnsi="Arial" w:cs="Arial"/>
          <w:sz w:val="24"/>
          <w:szCs w:val="24"/>
        </w:rPr>
      </w:pPr>
      <w:r w:rsidRPr="009409D5">
        <w:rPr>
          <w:rFonts w:ascii="Arial" w:hAnsi="Arial" w:cs="Arial"/>
          <w:sz w:val="24"/>
          <w:szCs w:val="24"/>
        </w:rPr>
        <w:t>Update the plan to address changes to the information system/environment of operation or problems identified during plan implementation or security control assessments.</w:t>
      </w:r>
    </w:p>
    <w:p w14:paraId="19A6913D" w14:textId="7443C725" w:rsidR="009409D5" w:rsidRPr="0010168A" w:rsidRDefault="009409D5" w:rsidP="00587924">
      <w:pPr>
        <w:numPr>
          <w:ilvl w:val="1"/>
          <w:numId w:val="33"/>
        </w:numPr>
        <w:spacing w:after="120" w:line="240" w:lineRule="auto"/>
        <w:ind w:left="806" w:right="446"/>
        <w:jc w:val="both"/>
        <w:rPr>
          <w:rFonts w:ascii="Arial" w:hAnsi="Arial" w:cs="Arial"/>
          <w:sz w:val="24"/>
          <w:szCs w:val="24"/>
        </w:rPr>
      </w:pPr>
      <w:r w:rsidRPr="009409D5">
        <w:rPr>
          <w:rFonts w:ascii="Arial" w:hAnsi="Arial" w:cs="Arial"/>
          <w:sz w:val="24"/>
          <w:szCs w:val="24"/>
        </w:rPr>
        <w:t>Protect the security plan from unauthorized disclosure and modification.</w:t>
      </w:r>
    </w:p>
    <w:p w14:paraId="1FFD27EF" w14:textId="70EFCCF0" w:rsidR="009409D5" w:rsidRPr="009409D5" w:rsidRDefault="009409D5"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Rules of Behavior</w:t>
      </w:r>
    </w:p>
    <w:p w14:paraId="4FBEA207" w14:textId="3A961A35"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IT Department shall:</w:t>
      </w:r>
    </w:p>
    <w:p w14:paraId="0F5DC7A1" w14:textId="48BD28AB" w:rsidR="0075131B" w:rsidRDefault="009409D5" w:rsidP="00587924">
      <w:pPr>
        <w:numPr>
          <w:ilvl w:val="0"/>
          <w:numId w:val="32"/>
        </w:numPr>
        <w:spacing w:after="120" w:line="240" w:lineRule="auto"/>
        <w:ind w:left="806" w:right="446"/>
        <w:jc w:val="both"/>
        <w:rPr>
          <w:rFonts w:ascii="Arial" w:hAnsi="Arial" w:cs="Arial"/>
          <w:sz w:val="24"/>
          <w:szCs w:val="24"/>
        </w:rPr>
      </w:pPr>
      <w:r w:rsidRPr="009409D5">
        <w:rPr>
          <w:rFonts w:ascii="Arial" w:hAnsi="Arial" w:cs="Arial"/>
          <w:sz w:val="24"/>
          <w:szCs w:val="24"/>
        </w:rPr>
        <w:t xml:space="preserve">Establish, and make readily available to individuals requiring access to the information system, the rules that describe their responsibilities and expected behavior </w:t>
      </w:r>
      <w:proofErr w:type="gramStart"/>
      <w:r w:rsidRPr="009409D5">
        <w:rPr>
          <w:rFonts w:ascii="Arial" w:hAnsi="Arial" w:cs="Arial"/>
          <w:sz w:val="24"/>
          <w:szCs w:val="24"/>
        </w:rPr>
        <w:t>with regard to</w:t>
      </w:r>
      <w:proofErr w:type="gramEnd"/>
      <w:r w:rsidRPr="009409D5">
        <w:rPr>
          <w:rFonts w:ascii="Arial" w:hAnsi="Arial" w:cs="Arial"/>
          <w:sz w:val="24"/>
          <w:szCs w:val="24"/>
        </w:rPr>
        <w:t xml:space="preserve"> information and information system usage.</w:t>
      </w:r>
    </w:p>
    <w:p w14:paraId="47877F0D" w14:textId="31B2374B" w:rsidR="009409D5" w:rsidRDefault="009409D5" w:rsidP="00587924">
      <w:pPr>
        <w:numPr>
          <w:ilvl w:val="0"/>
          <w:numId w:val="32"/>
        </w:numPr>
        <w:spacing w:after="120" w:line="240" w:lineRule="auto"/>
        <w:ind w:left="806" w:right="446"/>
        <w:jc w:val="both"/>
        <w:rPr>
          <w:rFonts w:ascii="Arial" w:hAnsi="Arial" w:cs="Arial"/>
          <w:sz w:val="24"/>
          <w:szCs w:val="24"/>
        </w:rPr>
      </w:pPr>
      <w:r w:rsidRPr="009409D5">
        <w:rPr>
          <w:rFonts w:ascii="Arial" w:hAnsi="Arial" w:cs="Arial"/>
          <w:sz w:val="24"/>
          <w:szCs w:val="24"/>
        </w:rPr>
        <w:lastRenderedPageBreak/>
        <w:t>Receive a signed acknowledgment from such individuals, indicating that they have read, understand, and agree to abide by the rules of behavior, before authorizing access to information and the information system.</w:t>
      </w:r>
    </w:p>
    <w:p w14:paraId="246CC291" w14:textId="4FBAEFE8" w:rsidR="009409D5" w:rsidRDefault="009409D5" w:rsidP="00587924">
      <w:pPr>
        <w:numPr>
          <w:ilvl w:val="0"/>
          <w:numId w:val="32"/>
        </w:numPr>
        <w:spacing w:after="120" w:line="240" w:lineRule="auto"/>
        <w:ind w:left="806" w:right="446"/>
        <w:jc w:val="both"/>
        <w:rPr>
          <w:rFonts w:ascii="Arial" w:hAnsi="Arial" w:cs="Arial"/>
          <w:sz w:val="24"/>
          <w:szCs w:val="24"/>
        </w:rPr>
      </w:pPr>
      <w:r w:rsidRPr="009409D5">
        <w:rPr>
          <w:rFonts w:ascii="Arial" w:hAnsi="Arial" w:cs="Arial"/>
          <w:sz w:val="24"/>
          <w:szCs w:val="24"/>
        </w:rPr>
        <w:t>Review and update the rules of behavior.</w:t>
      </w:r>
    </w:p>
    <w:p w14:paraId="7C188C43" w14:textId="7CC01687" w:rsidR="009409D5" w:rsidRPr="0010168A" w:rsidRDefault="009409D5" w:rsidP="00587924">
      <w:pPr>
        <w:numPr>
          <w:ilvl w:val="0"/>
          <w:numId w:val="32"/>
        </w:numPr>
        <w:spacing w:after="120" w:line="240" w:lineRule="auto"/>
        <w:ind w:left="806" w:right="446"/>
        <w:jc w:val="both"/>
        <w:rPr>
          <w:rFonts w:ascii="Arial" w:hAnsi="Arial" w:cs="Arial"/>
          <w:sz w:val="24"/>
          <w:szCs w:val="24"/>
        </w:rPr>
      </w:pPr>
      <w:r w:rsidRPr="009409D5">
        <w:rPr>
          <w:rFonts w:ascii="Arial" w:hAnsi="Arial" w:cs="Arial"/>
          <w:sz w:val="24"/>
          <w:szCs w:val="24"/>
        </w:rPr>
        <w:t>Require individuals who have signed a previous version of the rules of behavior to read and resign when the rules of behavior are revised and updated.</w:t>
      </w:r>
    </w:p>
    <w:p w14:paraId="40A3FE2E" w14:textId="3A447AA7" w:rsidR="009409D5" w:rsidRPr="009409D5" w:rsidRDefault="009409D5"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Information Security Architecture</w:t>
      </w:r>
    </w:p>
    <w:p w14:paraId="36EC8E53" w14:textId="70223C9F"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IT Department shall:</w:t>
      </w:r>
    </w:p>
    <w:p w14:paraId="2C89943E" w14:textId="294EB2C6" w:rsidR="009409D5" w:rsidRPr="009409D5" w:rsidRDefault="009409D5" w:rsidP="009409D5">
      <w:pPr>
        <w:numPr>
          <w:ilvl w:val="0"/>
          <w:numId w:val="34"/>
        </w:numPr>
        <w:spacing w:after="120" w:line="240" w:lineRule="auto"/>
        <w:ind w:left="806" w:right="446"/>
        <w:jc w:val="both"/>
        <w:rPr>
          <w:rFonts w:ascii="Arial" w:hAnsi="Arial" w:cs="Arial"/>
          <w:sz w:val="24"/>
          <w:szCs w:val="24"/>
        </w:rPr>
      </w:pPr>
      <w:r w:rsidRPr="009409D5">
        <w:rPr>
          <w:rFonts w:ascii="Arial" w:hAnsi="Arial" w:cs="Arial"/>
          <w:sz w:val="24"/>
          <w:szCs w:val="24"/>
        </w:rPr>
        <w:t>Develop information security architecture for the information system that will:</w:t>
      </w:r>
    </w:p>
    <w:p w14:paraId="2CCDA2C0" w14:textId="0366F28D" w:rsidR="009409D5" w:rsidRDefault="009409D5" w:rsidP="009409D5">
      <w:pPr>
        <w:numPr>
          <w:ilvl w:val="0"/>
          <w:numId w:val="40"/>
        </w:numPr>
        <w:spacing w:after="120" w:line="240" w:lineRule="auto"/>
        <w:ind w:right="446"/>
        <w:jc w:val="both"/>
        <w:rPr>
          <w:rFonts w:ascii="Arial" w:hAnsi="Arial" w:cs="Arial"/>
          <w:sz w:val="24"/>
          <w:szCs w:val="24"/>
        </w:rPr>
      </w:pPr>
      <w:r w:rsidRPr="009409D5">
        <w:rPr>
          <w:rFonts w:ascii="Arial" w:hAnsi="Arial" w:cs="Arial"/>
          <w:sz w:val="24"/>
          <w:szCs w:val="24"/>
        </w:rPr>
        <w:t xml:space="preserve">Describe the overall philosophy, requirements, and approach to be taken </w:t>
      </w:r>
      <w:proofErr w:type="gramStart"/>
      <w:r w:rsidRPr="009409D5">
        <w:rPr>
          <w:rFonts w:ascii="Arial" w:hAnsi="Arial" w:cs="Arial"/>
          <w:sz w:val="24"/>
          <w:szCs w:val="24"/>
        </w:rPr>
        <w:t>with regard to</w:t>
      </w:r>
      <w:proofErr w:type="gramEnd"/>
      <w:r w:rsidRPr="009409D5">
        <w:rPr>
          <w:rFonts w:ascii="Arial" w:hAnsi="Arial" w:cs="Arial"/>
          <w:sz w:val="24"/>
          <w:szCs w:val="24"/>
        </w:rPr>
        <w:t xml:space="preserve"> protecting the confidentiality, integrity, and availability of organizational information.</w:t>
      </w:r>
    </w:p>
    <w:p w14:paraId="38841263" w14:textId="358B2D35" w:rsidR="009409D5" w:rsidRDefault="009409D5" w:rsidP="009409D5">
      <w:pPr>
        <w:numPr>
          <w:ilvl w:val="0"/>
          <w:numId w:val="40"/>
        </w:numPr>
        <w:spacing w:after="120" w:line="240" w:lineRule="auto"/>
        <w:ind w:right="446"/>
        <w:jc w:val="both"/>
        <w:rPr>
          <w:rFonts w:ascii="Arial" w:hAnsi="Arial" w:cs="Arial"/>
          <w:sz w:val="24"/>
          <w:szCs w:val="24"/>
        </w:rPr>
      </w:pPr>
      <w:r w:rsidRPr="009409D5">
        <w:rPr>
          <w:rFonts w:ascii="Arial" w:hAnsi="Arial" w:cs="Arial"/>
          <w:sz w:val="24"/>
          <w:szCs w:val="24"/>
        </w:rPr>
        <w:t>Describe how the information security architecture is integrated into and supports the enterprise architecture.</w:t>
      </w:r>
    </w:p>
    <w:p w14:paraId="634E34C3" w14:textId="2B37E375" w:rsidR="009409D5" w:rsidRPr="009409D5" w:rsidRDefault="009409D5" w:rsidP="009409D5">
      <w:pPr>
        <w:numPr>
          <w:ilvl w:val="0"/>
          <w:numId w:val="40"/>
        </w:numPr>
        <w:spacing w:after="120" w:line="240" w:lineRule="auto"/>
        <w:ind w:right="446"/>
        <w:jc w:val="both"/>
        <w:rPr>
          <w:rFonts w:ascii="Arial" w:hAnsi="Arial" w:cs="Arial"/>
          <w:sz w:val="24"/>
          <w:szCs w:val="24"/>
        </w:rPr>
      </w:pPr>
      <w:r w:rsidRPr="009409D5">
        <w:rPr>
          <w:rFonts w:ascii="Arial" w:hAnsi="Arial" w:cs="Arial"/>
          <w:sz w:val="24"/>
          <w:szCs w:val="24"/>
        </w:rPr>
        <w:t>Describe any information security assumptions and dependencies on external services.</w:t>
      </w:r>
    </w:p>
    <w:p w14:paraId="230626C7" w14:textId="0C666FC9" w:rsidR="0075131B" w:rsidRPr="0010168A" w:rsidRDefault="009409D5" w:rsidP="00587924">
      <w:pPr>
        <w:numPr>
          <w:ilvl w:val="0"/>
          <w:numId w:val="34"/>
        </w:numPr>
        <w:spacing w:after="120" w:line="240" w:lineRule="auto"/>
        <w:ind w:left="806" w:right="446"/>
        <w:jc w:val="both"/>
        <w:rPr>
          <w:rFonts w:ascii="Arial" w:hAnsi="Arial" w:cs="Arial"/>
          <w:sz w:val="24"/>
          <w:szCs w:val="24"/>
        </w:rPr>
      </w:pPr>
      <w:r w:rsidRPr="009409D5">
        <w:rPr>
          <w:rFonts w:ascii="Arial" w:hAnsi="Arial" w:cs="Arial"/>
          <w:sz w:val="24"/>
          <w:szCs w:val="24"/>
        </w:rPr>
        <w:t>Review and update the information security architecture no less than annually, to reflect updates in the enterprise architecture.</w:t>
      </w:r>
    </w:p>
    <w:p w14:paraId="3E0A61C8" w14:textId="407ED194" w:rsidR="0075131B" w:rsidRPr="0010168A" w:rsidRDefault="009409D5" w:rsidP="00587924">
      <w:pPr>
        <w:numPr>
          <w:ilvl w:val="0"/>
          <w:numId w:val="34"/>
        </w:numPr>
        <w:spacing w:line="240" w:lineRule="auto"/>
        <w:ind w:left="810" w:right="446"/>
        <w:jc w:val="both"/>
        <w:rPr>
          <w:rFonts w:ascii="Arial" w:hAnsi="Arial" w:cs="Arial"/>
          <w:sz w:val="24"/>
          <w:szCs w:val="24"/>
        </w:rPr>
      </w:pPr>
      <w:r w:rsidRPr="009409D5">
        <w:rPr>
          <w:rFonts w:ascii="Arial" w:hAnsi="Arial" w:cs="Arial"/>
          <w:sz w:val="24"/>
          <w:szCs w:val="24"/>
        </w:rPr>
        <w:t>Ensure that planned information security architecture changes are reflected in the security plan, the security operations and procurements/acquisitions.</w:t>
      </w:r>
    </w:p>
    <w:p w14:paraId="039E33DF" w14:textId="502DB570" w:rsidR="009409D5" w:rsidRPr="009409D5" w:rsidRDefault="009409D5" w:rsidP="009409D5">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Defense in Depth Approach</w:t>
      </w:r>
    </w:p>
    <w:p w14:paraId="1E23BA9F" w14:textId="049674D7" w:rsidR="009409D5" w:rsidRPr="009409D5" w:rsidRDefault="009409D5" w:rsidP="009409D5">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IT Department shall:</w:t>
      </w:r>
    </w:p>
    <w:p w14:paraId="5DA5E99D" w14:textId="7CDE630F" w:rsidR="009409D5" w:rsidRPr="009409D5" w:rsidRDefault="009409D5" w:rsidP="009409D5">
      <w:pPr>
        <w:numPr>
          <w:ilvl w:val="0"/>
          <w:numId w:val="35"/>
        </w:numPr>
        <w:spacing w:after="120" w:line="240" w:lineRule="auto"/>
        <w:ind w:left="806" w:right="446"/>
        <w:jc w:val="both"/>
        <w:rPr>
          <w:rFonts w:ascii="Arial" w:hAnsi="Arial" w:cs="Arial"/>
          <w:sz w:val="24"/>
          <w:szCs w:val="24"/>
        </w:rPr>
      </w:pPr>
      <w:r w:rsidRPr="009409D5">
        <w:rPr>
          <w:rFonts w:ascii="Arial" w:hAnsi="Arial" w:cs="Arial"/>
          <w:sz w:val="24"/>
          <w:szCs w:val="24"/>
        </w:rPr>
        <w:t>Design security architecture using a defense-in-depth approach that:</w:t>
      </w:r>
    </w:p>
    <w:p w14:paraId="2DEEF99C" w14:textId="300E55DA" w:rsidR="009409D5" w:rsidRDefault="009409D5" w:rsidP="009409D5">
      <w:pPr>
        <w:numPr>
          <w:ilvl w:val="0"/>
          <w:numId w:val="41"/>
        </w:numPr>
        <w:spacing w:after="120" w:line="240" w:lineRule="auto"/>
        <w:ind w:right="446"/>
        <w:jc w:val="both"/>
        <w:rPr>
          <w:rFonts w:ascii="Arial" w:hAnsi="Arial" w:cs="Arial"/>
          <w:sz w:val="24"/>
          <w:szCs w:val="24"/>
        </w:rPr>
      </w:pPr>
      <w:r w:rsidRPr="009409D5">
        <w:rPr>
          <w:rFonts w:ascii="Arial" w:hAnsi="Arial" w:cs="Arial"/>
          <w:sz w:val="24"/>
          <w:szCs w:val="24"/>
        </w:rPr>
        <w:t>Allocates security safeguards to [entity] defined locations and architectural layers.</w:t>
      </w:r>
    </w:p>
    <w:p w14:paraId="38A93727" w14:textId="401B81EB" w:rsidR="009409D5" w:rsidRPr="009409D5" w:rsidRDefault="009409D5" w:rsidP="009409D5">
      <w:pPr>
        <w:numPr>
          <w:ilvl w:val="0"/>
          <w:numId w:val="41"/>
        </w:numPr>
        <w:spacing w:after="120" w:line="240" w:lineRule="auto"/>
        <w:ind w:right="446"/>
        <w:jc w:val="both"/>
        <w:rPr>
          <w:rFonts w:ascii="Arial" w:hAnsi="Arial" w:cs="Arial"/>
          <w:sz w:val="24"/>
          <w:szCs w:val="24"/>
        </w:rPr>
      </w:pPr>
      <w:r w:rsidRPr="009409D5">
        <w:rPr>
          <w:rFonts w:ascii="Arial" w:hAnsi="Arial" w:cs="Arial"/>
          <w:sz w:val="24"/>
          <w:szCs w:val="24"/>
        </w:rPr>
        <w:t>Will ensure that the allocated security safeguards operate in a coordinated and mutually reinforcing manner.</w:t>
      </w:r>
    </w:p>
    <w:p w14:paraId="72A0719E" w14:textId="77777777" w:rsidR="00FD26A2" w:rsidRPr="00B81B99" w:rsidRDefault="00AF069C" w:rsidP="00B81B99">
      <w:pPr>
        <w:pStyle w:val="Heading1"/>
        <w:rPr>
          <w:color w:val="auto"/>
        </w:rPr>
      </w:pPr>
      <w:r w:rsidRPr="00B81B99">
        <w:rPr>
          <w:color w:val="auto"/>
        </w:rPr>
        <w:t>5.0 Compliance</w:t>
      </w:r>
    </w:p>
    <w:p w14:paraId="1B7CFA0B" w14:textId="77777777" w:rsidR="007A6D50" w:rsidRPr="004F0D6F" w:rsidRDefault="007A6D50" w:rsidP="007A6D50">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24913271" w14:textId="77777777" w:rsidR="007A6D50" w:rsidRDefault="007A6D50" w:rsidP="007A6D50">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B41479F" w14:textId="77777777" w:rsidR="007A6D50" w:rsidRDefault="007A6D50" w:rsidP="007A6D50">
      <w:pPr>
        <w:pStyle w:val="Heading1"/>
        <w:rPr>
          <w:color w:val="auto"/>
        </w:rPr>
      </w:pPr>
      <w:r>
        <w:rPr>
          <w:color w:val="auto"/>
        </w:rPr>
        <w:lastRenderedPageBreak/>
        <w:t>6</w:t>
      </w:r>
      <w:r w:rsidRPr="006E0CEF">
        <w:rPr>
          <w:color w:val="auto"/>
        </w:rPr>
        <w:t xml:space="preserve">.0 </w:t>
      </w:r>
      <w:r>
        <w:rPr>
          <w:color w:val="auto"/>
        </w:rPr>
        <w:t>Policy Exceptions</w:t>
      </w:r>
    </w:p>
    <w:p w14:paraId="526575FA" w14:textId="77777777" w:rsidR="007A6D50" w:rsidRPr="00EB3772" w:rsidRDefault="007A6D50" w:rsidP="007A6D50">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p w14:paraId="608E20F3" w14:textId="35EE1934" w:rsidR="00FD26A2" w:rsidRPr="00B81B99" w:rsidRDefault="007A6D50" w:rsidP="00B81B99">
      <w:pPr>
        <w:pStyle w:val="Heading1"/>
        <w:rPr>
          <w:color w:val="auto"/>
        </w:rPr>
      </w:pPr>
      <w:r>
        <w:rPr>
          <w:color w:val="auto"/>
        </w:rPr>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66D6A3E5" w:rsidR="00426882" w:rsidRPr="00B81B99" w:rsidRDefault="007A6D50" w:rsidP="00B81B99">
      <w:pPr>
        <w:pStyle w:val="Heading1"/>
        <w:rPr>
          <w:color w:val="auto"/>
        </w:rPr>
      </w:pPr>
      <w:r>
        <w:rPr>
          <w:color w:val="auto"/>
        </w:rPr>
        <w:t>8</w:t>
      </w:r>
      <w:r w:rsidR="00FD26A2" w:rsidRPr="00B81B99">
        <w:rPr>
          <w:color w:val="auto"/>
        </w:rPr>
        <w:t>.0 Contact Information</w:t>
      </w:r>
    </w:p>
    <w:p w14:paraId="6CC52D7A"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5A2C8148" w14:textId="77777777" w:rsidR="00B72542" w:rsidRDefault="00B72542" w:rsidP="00DF1E03">
      <w:pPr>
        <w:spacing w:after="0" w:line="240" w:lineRule="auto"/>
        <w:ind w:right="446"/>
        <w:jc w:val="center"/>
        <w:rPr>
          <w:rFonts w:ascii="Arial" w:hAnsi="Arial" w:cs="Arial"/>
          <w:sz w:val="24"/>
          <w:szCs w:val="24"/>
        </w:rPr>
      </w:pPr>
    </w:p>
    <w:p w14:paraId="6F48577A" w14:textId="77777777" w:rsidR="00B72542" w:rsidRPr="00EB3772" w:rsidRDefault="00B72542" w:rsidP="00B72542">
      <w:pPr>
        <w:spacing w:line="240" w:lineRule="auto"/>
        <w:ind w:right="446"/>
        <w:jc w:val="center"/>
        <w:rPr>
          <w:rFonts w:ascii="Arial" w:hAnsi="Arial" w:cs="Arial"/>
          <w:color w:val="FF0000"/>
          <w:sz w:val="24"/>
          <w:szCs w:val="24"/>
        </w:rPr>
      </w:pPr>
      <w:bookmarkStart w:id="3"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3"/>
    <w:p w14:paraId="28B58826" w14:textId="16DD8D3E" w:rsidR="00FD26A2" w:rsidRPr="00B81B99" w:rsidRDefault="007A6D50" w:rsidP="00B81B99">
      <w:pPr>
        <w:pStyle w:val="Heading1"/>
        <w:rPr>
          <w:color w:val="auto"/>
        </w:rPr>
      </w:pPr>
      <w:r>
        <w:rPr>
          <w:color w:val="auto"/>
        </w:rPr>
        <w:t>9</w:t>
      </w:r>
      <w:r w:rsidR="00FD26A2" w:rsidRPr="00B81B99">
        <w:rPr>
          <w:color w:val="auto"/>
        </w:rPr>
        <w:t>.0 R</w:t>
      </w:r>
      <w:r w:rsidR="00B34139" w:rsidRPr="00B81B99">
        <w:rPr>
          <w:color w:val="auto"/>
        </w:rPr>
        <w:t>evision</w:t>
      </w:r>
      <w:r w:rsidR="00FD26A2"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33DBA64B" w:rsidR="00862653" w:rsidRPr="00B81B99" w:rsidRDefault="007A6D50" w:rsidP="00B81B99">
      <w:pPr>
        <w:pStyle w:val="Heading1"/>
      </w:pPr>
      <w:r>
        <w:rPr>
          <w:color w:val="auto"/>
        </w:rPr>
        <w:t>10</w:t>
      </w:r>
      <w:r w:rsidR="00FD26A2" w:rsidRPr="00B81B99">
        <w:rPr>
          <w:color w:val="auto"/>
        </w:rPr>
        <w:t>.0 Related Documents</w:t>
      </w:r>
    </w:p>
    <w:p w14:paraId="3041CC95" w14:textId="77777777" w:rsidR="00EA7781" w:rsidRDefault="0073036D" w:rsidP="009409D5">
      <w:pPr>
        <w:autoSpaceDE w:val="0"/>
        <w:autoSpaceDN w:val="0"/>
        <w:adjustRightInd w:val="0"/>
        <w:ind w:right="450"/>
        <w:jc w:val="both"/>
        <w:rPr>
          <w:rFonts w:ascii="Arial" w:hAnsi="Arial" w:cs="Arial"/>
          <w:sz w:val="24"/>
          <w:szCs w:val="24"/>
        </w:rPr>
      </w:pPr>
      <w:r w:rsidRPr="009409D5">
        <w:rPr>
          <w:rFonts w:ascii="Arial" w:hAnsi="Arial" w:cs="Arial"/>
          <w:sz w:val="24"/>
          <w:szCs w:val="24"/>
        </w:rPr>
        <w:t>NIST Special Publication 800-92, Guide to Computer Security Log Management</w:t>
      </w:r>
      <w:bookmarkStart w:id="4" w:name="AppendixA"/>
      <w:bookmarkEnd w:id="4"/>
    </w:p>
    <w:p w14:paraId="6F97981A" w14:textId="67556914" w:rsidR="009409D5" w:rsidRPr="007A6D50" w:rsidRDefault="009409D5" w:rsidP="009409D5">
      <w:pPr>
        <w:rPr>
          <w:rFonts w:ascii="Arial" w:hAnsi="Arial" w:cs="Arial"/>
          <w:sz w:val="24"/>
          <w:szCs w:val="24"/>
        </w:rPr>
      </w:pPr>
      <w:r w:rsidRPr="00E30A2D">
        <w:rPr>
          <w:rFonts w:ascii="Arial" w:hAnsi="Arial" w:cs="Arial"/>
          <w:sz w:val="24"/>
          <w:szCs w:val="24"/>
          <w:shd w:val="clear" w:color="auto" w:fill="FFFFFF"/>
        </w:rPr>
        <w:t xml:space="preserve">National Institute of Standards and Technology (NIST) Special Publications (SP): </w:t>
      </w:r>
      <w:r w:rsidRPr="00E30A2D">
        <w:rPr>
          <w:rFonts w:ascii="Arial" w:hAnsi="Arial" w:cs="Arial"/>
          <w:sz w:val="24"/>
          <w:szCs w:val="24"/>
        </w:rPr>
        <w:t xml:space="preserve">NIST SP 800-53a – Security Planning (PL), NIST SP 800-12, SP NIST 800-18, </w:t>
      </w:r>
      <w:r w:rsidRPr="00E30A2D">
        <w:rPr>
          <w:rFonts w:ascii="Arial" w:hAnsi="Arial" w:cs="Arial"/>
          <w:sz w:val="24"/>
          <w:szCs w:val="24"/>
        </w:rPr>
        <w:br/>
        <w:t>NIST SP 800-100</w:t>
      </w:r>
    </w:p>
    <w:p w14:paraId="53756333" w14:textId="77777777" w:rsidR="009409D5" w:rsidRPr="00E30A2D" w:rsidRDefault="009409D5" w:rsidP="009409D5">
      <w:pPr>
        <w:rPr>
          <w:rFonts w:ascii="Arial" w:hAnsi="Arial" w:cs="Arial"/>
          <w:sz w:val="24"/>
          <w:szCs w:val="24"/>
        </w:rPr>
      </w:pPr>
    </w:p>
    <w:sectPr w:rsidR="009409D5" w:rsidRPr="00E30A2D"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C4556" w14:textId="77777777" w:rsidR="00131C0F" w:rsidRDefault="00131C0F" w:rsidP="00D212FD">
      <w:pPr>
        <w:spacing w:after="0" w:line="240" w:lineRule="auto"/>
      </w:pPr>
      <w:r>
        <w:separator/>
      </w:r>
    </w:p>
  </w:endnote>
  <w:endnote w:type="continuationSeparator" w:id="0">
    <w:p w14:paraId="5E1EF28C" w14:textId="77777777" w:rsidR="00131C0F" w:rsidRDefault="00131C0F" w:rsidP="00D212FD">
      <w:pPr>
        <w:spacing w:after="0" w:line="240" w:lineRule="auto"/>
      </w:pPr>
      <w:r>
        <w:continuationSeparator/>
      </w:r>
    </w:p>
  </w:endnote>
  <w:endnote w:type="continuationNotice" w:id="1">
    <w:p w14:paraId="48782F5B" w14:textId="77777777" w:rsidR="00131C0F" w:rsidRDefault="00131C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88BEB" w14:textId="34C1133A" w:rsidR="006458EC" w:rsidRPr="009D4DB0" w:rsidRDefault="006458EC" w:rsidP="006458EC">
    <w:pPr>
      <w:pStyle w:val="Footer"/>
      <w:rPr>
        <w:rFonts w:ascii="Arial" w:hAnsi="Arial" w:cs="Arial"/>
        <w:b/>
        <w:sz w:val="20"/>
        <w:szCs w:val="16"/>
      </w:rPr>
    </w:pPr>
    <w:r>
      <w:rPr>
        <w:rFonts w:ascii="Arial" w:hAnsi="Arial" w:cs="Arial"/>
        <w:b/>
        <w:sz w:val="20"/>
        <w:szCs w:val="16"/>
      </w:rPr>
      <w:t>Planning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B72542">
      <w:rPr>
        <w:rFonts w:ascii="Arial" w:hAnsi="Arial" w:cs="Arial"/>
        <w:b/>
        <w:noProof/>
        <w:sz w:val="20"/>
        <w:szCs w:val="16"/>
      </w:rPr>
      <w:t>4</w:t>
    </w:r>
    <w:r w:rsidRPr="009D4DB0">
      <w:rPr>
        <w:rFonts w:ascii="Arial" w:hAnsi="Arial" w:cs="Arial"/>
        <w:b/>
        <w:sz w:val="20"/>
        <w:szCs w:val="16"/>
      </w:rPr>
      <w:fldChar w:fldCharType="end"/>
    </w:r>
  </w:p>
  <w:p w14:paraId="756F7A09" w14:textId="77777777" w:rsidR="006458EC" w:rsidRDefault="00645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7B01CAC5" w:rsidR="007B5EB1" w:rsidRPr="009D4DB0" w:rsidRDefault="006458EC" w:rsidP="007B5EB1">
    <w:pPr>
      <w:pStyle w:val="Footer"/>
      <w:rPr>
        <w:rFonts w:ascii="Arial" w:hAnsi="Arial" w:cs="Arial"/>
        <w:b/>
        <w:sz w:val="20"/>
        <w:szCs w:val="16"/>
      </w:rPr>
    </w:pPr>
    <w:r>
      <w:rPr>
        <w:rFonts w:ascii="Arial" w:hAnsi="Arial" w:cs="Arial"/>
        <w:b/>
        <w:sz w:val="20"/>
        <w:szCs w:val="16"/>
      </w:rPr>
      <w:t>Planning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B72542">
      <w:rPr>
        <w:rFonts w:ascii="Arial" w:hAnsi="Arial" w:cs="Arial"/>
        <w:b/>
        <w:noProof/>
        <w:sz w:val="20"/>
        <w:szCs w:val="16"/>
      </w:rPr>
      <w:t>4</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0BD9F" w14:textId="77777777" w:rsidR="00131C0F" w:rsidRDefault="00131C0F" w:rsidP="00D212FD">
      <w:pPr>
        <w:spacing w:after="0" w:line="240" w:lineRule="auto"/>
      </w:pPr>
      <w:r>
        <w:separator/>
      </w:r>
    </w:p>
  </w:footnote>
  <w:footnote w:type="continuationSeparator" w:id="0">
    <w:p w14:paraId="62E10FE7" w14:textId="77777777" w:rsidR="00131C0F" w:rsidRDefault="00131C0F" w:rsidP="00D212FD">
      <w:pPr>
        <w:spacing w:after="0" w:line="240" w:lineRule="auto"/>
      </w:pPr>
      <w:r>
        <w:continuationSeparator/>
      </w:r>
    </w:p>
  </w:footnote>
  <w:footnote w:type="continuationNotice" w:id="1">
    <w:p w14:paraId="03F67959" w14:textId="77777777" w:rsidR="00131C0F" w:rsidRDefault="00131C0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36.8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760BF"/>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0" w15:restartNumberingAfterBreak="0">
    <w:nsid w:val="677E2D07"/>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4"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5"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669723">
    <w:abstractNumId w:val="6"/>
  </w:num>
  <w:num w:numId="2" w16cid:durableId="43719656">
    <w:abstractNumId w:val="7"/>
  </w:num>
  <w:num w:numId="3" w16cid:durableId="1062364206">
    <w:abstractNumId w:val="8"/>
  </w:num>
  <w:num w:numId="4" w16cid:durableId="1672564928">
    <w:abstractNumId w:val="38"/>
  </w:num>
  <w:num w:numId="5" w16cid:durableId="1005716199">
    <w:abstractNumId w:val="9"/>
  </w:num>
  <w:num w:numId="6" w16cid:durableId="501162080">
    <w:abstractNumId w:val="15"/>
  </w:num>
  <w:num w:numId="7" w16cid:durableId="2060395498">
    <w:abstractNumId w:val="21"/>
  </w:num>
  <w:num w:numId="8" w16cid:durableId="1259101775">
    <w:abstractNumId w:val="29"/>
  </w:num>
  <w:num w:numId="9" w16cid:durableId="2133673818">
    <w:abstractNumId w:val="22"/>
  </w:num>
  <w:num w:numId="10" w16cid:durableId="1635138899">
    <w:abstractNumId w:val="31"/>
  </w:num>
  <w:num w:numId="11" w16cid:durableId="1885943778">
    <w:abstractNumId w:val="10"/>
  </w:num>
  <w:num w:numId="12" w16cid:durableId="972247103">
    <w:abstractNumId w:val="20"/>
  </w:num>
  <w:num w:numId="13" w16cid:durableId="199513828">
    <w:abstractNumId w:val="26"/>
  </w:num>
  <w:num w:numId="14" w16cid:durableId="218513216">
    <w:abstractNumId w:val="37"/>
  </w:num>
  <w:num w:numId="15" w16cid:durableId="1833446351">
    <w:abstractNumId w:val="23"/>
  </w:num>
  <w:num w:numId="16" w16cid:durableId="1204945128">
    <w:abstractNumId w:val="36"/>
  </w:num>
  <w:num w:numId="17" w16cid:durableId="1560820626">
    <w:abstractNumId w:val="13"/>
  </w:num>
  <w:num w:numId="18" w16cid:durableId="717821904">
    <w:abstractNumId w:val="3"/>
  </w:num>
  <w:num w:numId="19" w16cid:durableId="1986620919">
    <w:abstractNumId w:val="16"/>
  </w:num>
  <w:num w:numId="20" w16cid:durableId="725759262">
    <w:abstractNumId w:val="4"/>
  </w:num>
  <w:num w:numId="21" w16cid:durableId="475025144">
    <w:abstractNumId w:val="34"/>
  </w:num>
  <w:num w:numId="22" w16cid:durableId="816193490">
    <w:abstractNumId w:val="0"/>
  </w:num>
  <w:num w:numId="23" w16cid:durableId="960190398">
    <w:abstractNumId w:val="18"/>
  </w:num>
  <w:num w:numId="24" w16cid:durableId="2127894389">
    <w:abstractNumId w:val="12"/>
  </w:num>
  <w:num w:numId="25" w16cid:durableId="1379889345">
    <w:abstractNumId w:val="5"/>
  </w:num>
  <w:num w:numId="26" w16cid:durableId="1600718642">
    <w:abstractNumId w:val="23"/>
  </w:num>
  <w:num w:numId="27" w16cid:durableId="763648128">
    <w:abstractNumId w:val="2"/>
  </w:num>
  <w:num w:numId="28" w16cid:durableId="11997033">
    <w:abstractNumId w:val="24"/>
  </w:num>
  <w:num w:numId="29" w16cid:durableId="1026566382">
    <w:abstractNumId w:val="24"/>
  </w:num>
  <w:num w:numId="30" w16cid:durableId="993333263">
    <w:abstractNumId w:val="1"/>
  </w:num>
  <w:num w:numId="31" w16cid:durableId="1958558547">
    <w:abstractNumId w:val="33"/>
  </w:num>
  <w:num w:numId="32" w16cid:durableId="1853031152">
    <w:abstractNumId w:val="11"/>
  </w:num>
  <w:num w:numId="33" w16cid:durableId="107169223">
    <w:abstractNumId w:val="32"/>
  </w:num>
  <w:num w:numId="34" w16cid:durableId="1234855130">
    <w:abstractNumId w:val="35"/>
  </w:num>
  <w:num w:numId="35" w16cid:durableId="560677013">
    <w:abstractNumId w:val="17"/>
  </w:num>
  <w:num w:numId="36" w16cid:durableId="207643858">
    <w:abstractNumId w:val="28"/>
  </w:num>
  <w:num w:numId="37" w16cid:durableId="1117139432">
    <w:abstractNumId w:val="27"/>
  </w:num>
  <w:num w:numId="38" w16cid:durableId="1196625037">
    <w:abstractNumId w:val="14"/>
  </w:num>
  <w:num w:numId="39" w16cid:durableId="600454408">
    <w:abstractNumId w:val="19"/>
  </w:num>
  <w:num w:numId="40" w16cid:durableId="1094665413">
    <w:abstractNumId w:val="25"/>
  </w:num>
  <w:num w:numId="41" w16cid:durableId="29040650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1C0F"/>
    <w:rsid w:val="00132D40"/>
    <w:rsid w:val="00132EED"/>
    <w:rsid w:val="00134AC2"/>
    <w:rsid w:val="00137B9D"/>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2E18"/>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4966"/>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458EC"/>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153C1"/>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A6D50"/>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09D5"/>
    <w:rsid w:val="00941C0A"/>
    <w:rsid w:val="009434E7"/>
    <w:rsid w:val="00953454"/>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751"/>
    <w:rsid w:val="009C3C90"/>
    <w:rsid w:val="009D0CA1"/>
    <w:rsid w:val="009D3E3E"/>
    <w:rsid w:val="009D4DB0"/>
    <w:rsid w:val="009E37F4"/>
    <w:rsid w:val="009E6B8E"/>
    <w:rsid w:val="009F51E2"/>
    <w:rsid w:val="009F532F"/>
    <w:rsid w:val="009F544E"/>
    <w:rsid w:val="009F5C36"/>
    <w:rsid w:val="009F6C9E"/>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56BA6"/>
    <w:rsid w:val="00B660B5"/>
    <w:rsid w:val="00B70E50"/>
    <w:rsid w:val="00B71042"/>
    <w:rsid w:val="00B725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06AC"/>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9D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3690731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20918620">
      <w:bodyDiv w:val="1"/>
      <w:marLeft w:val="0"/>
      <w:marRight w:val="0"/>
      <w:marTop w:val="0"/>
      <w:marBottom w:val="0"/>
      <w:divBdr>
        <w:top w:val="none" w:sz="0" w:space="0" w:color="auto"/>
        <w:left w:val="none" w:sz="0" w:space="0" w:color="auto"/>
        <w:bottom w:val="none" w:sz="0" w:space="0" w:color="auto"/>
        <w:right w:val="none" w:sz="0" w:space="0" w:color="auto"/>
      </w:divBdr>
    </w:div>
    <w:div w:id="1833373348">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2024-10-11T22:43:00Z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