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14F68" w:rsidRPr="00D62A1C" w14:paraId="7A5AC2AC" w14:textId="77777777" w:rsidTr="00F25487">
        <w:trPr>
          <w:trHeight w:val="713"/>
        </w:trPr>
        <w:tc>
          <w:tcPr>
            <w:tcW w:w="5328" w:type="dxa"/>
            <w:shd w:val="clear" w:color="auto" w:fill="auto"/>
          </w:tcPr>
          <w:p w14:paraId="6FEEC137" w14:textId="77777777" w:rsidR="00A14F68" w:rsidRPr="00351561" w:rsidRDefault="00A14F68"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35773C3D" w14:textId="77777777" w:rsidR="00A14F68" w:rsidRPr="003325C1" w:rsidRDefault="00A14F68"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3A4EC14F" w14:textId="77777777" w:rsidR="00A14F68" w:rsidRPr="003325C1" w:rsidRDefault="00A14F68"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A14F68" w:rsidRPr="00D62A1C" w14:paraId="76433BB1" w14:textId="77777777" w:rsidTr="00F25487">
        <w:trPr>
          <w:trHeight w:val="617"/>
        </w:trPr>
        <w:tc>
          <w:tcPr>
            <w:tcW w:w="5328" w:type="dxa"/>
            <w:vMerge w:val="restart"/>
            <w:shd w:val="clear" w:color="auto" w:fill="auto"/>
          </w:tcPr>
          <w:p w14:paraId="06EB2B90" w14:textId="77777777" w:rsidR="00A14F68" w:rsidRPr="003325C1" w:rsidRDefault="00A14F68" w:rsidP="00F25487">
            <w:pPr>
              <w:spacing w:after="0" w:line="240" w:lineRule="auto"/>
              <w:jc w:val="center"/>
              <w:rPr>
                <w:rFonts w:ascii="Arial" w:hAnsi="Arial" w:cs="Arial"/>
                <w:sz w:val="24"/>
                <w:szCs w:val="40"/>
              </w:rPr>
            </w:pPr>
          </w:p>
          <w:p w14:paraId="06F2D628" w14:textId="77777777" w:rsidR="00A14F68" w:rsidRPr="003325C1" w:rsidRDefault="00A14F68"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2D0E81C4" w14:textId="77777777" w:rsidR="00A14F68" w:rsidRPr="003325C1" w:rsidRDefault="00A14F68" w:rsidP="00F25487">
            <w:pPr>
              <w:spacing w:after="0" w:line="240" w:lineRule="auto"/>
              <w:jc w:val="center"/>
              <w:rPr>
                <w:rFonts w:ascii="Arial" w:hAnsi="Arial" w:cs="Arial"/>
                <w:sz w:val="24"/>
                <w:szCs w:val="40"/>
              </w:rPr>
            </w:pPr>
          </w:p>
          <w:p w14:paraId="20950FC0" w14:textId="607DF2A2" w:rsidR="00A14F68" w:rsidRPr="003325C1" w:rsidRDefault="00A14F68" w:rsidP="00F25487">
            <w:pPr>
              <w:spacing w:after="240" w:line="240" w:lineRule="auto"/>
              <w:jc w:val="center"/>
              <w:rPr>
                <w:rFonts w:ascii="Arial" w:hAnsi="Arial" w:cs="Arial"/>
                <w:b/>
                <w:sz w:val="52"/>
                <w:szCs w:val="52"/>
              </w:rPr>
            </w:pPr>
            <w:r w:rsidRPr="00A14F68">
              <w:rPr>
                <w:rFonts w:ascii="Arial" w:hAnsi="Arial" w:cs="Arial"/>
                <w:b/>
                <w:sz w:val="40"/>
              </w:rPr>
              <w:t>Computer Security Threat Response Policy</w:t>
            </w:r>
          </w:p>
        </w:tc>
        <w:tc>
          <w:tcPr>
            <w:tcW w:w="4837" w:type="dxa"/>
            <w:vAlign w:val="center"/>
          </w:tcPr>
          <w:p w14:paraId="118A0089" w14:textId="77777777" w:rsidR="00A14F68" w:rsidRPr="003325C1" w:rsidRDefault="00A14F68"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A14F68" w:rsidRPr="00D62A1C" w14:paraId="2F53A3C5" w14:textId="77777777" w:rsidTr="00F25487">
        <w:trPr>
          <w:trHeight w:val="1517"/>
        </w:trPr>
        <w:tc>
          <w:tcPr>
            <w:tcW w:w="5328" w:type="dxa"/>
            <w:vMerge/>
            <w:shd w:val="clear" w:color="auto" w:fill="auto"/>
          </w:tcPr>
          <w:p w14:paraId="0C55F0C9" w14:textId="77777777" w:rsidR="00A14F68" w:rsidRPr="003325C1" w:rsidRDefault="00A14F68" w:rsidP="00F25487">
            <w:pPr>
              <w:spacing w:after="0" w:line="240" w:lineRule="auto"/>
              <w:rPr>
                <w:rFonts w:ascii="Arial" w:hAnsi="Arial" w:cs="Arial"/>
              </w:rPr>
            </w:pPr>
          </w:p>
        </w:tc>
        <w:tc>
          <w:tcPr>
            <w:tcW w:w="4837" w:type="dxa"/>
          </w:tcPr>
          <w:p w14:paraId="58030FAE" w14:textId="77777777" w:rsidR="00A14F68" w:rsidRPr="00C87DEF" w:rsidRDefault="00A14F68"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087D7D0D" w14:textId="77777777" w:rsidR="00A14F68" w:rsidRPr="003325C1" w:rsidRDefault="00A14F68" w:rsidP="00F25487">
            <w:pPr>
              <w:spacing w:after="0" w:line="240" w:lineRule="auto"/>
              <w:rPr>
                <w:rFonts w:ascii="Arial" w:hAnsi="Arial" w:cs="Arial"/>
                <w:sz w:val="24"/>
              </w:rPr>
            </w:pPr>
          </w:p>
          <w:p w14:paraId="51331258" w14:textId="77777777" w:rsidR="00A14F68" w:rsidRPr="003325C1" w:rsidRDefault="00A14F68"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18C4735" w14:textId="77777777" w:rsidR="00AD1735" w:rsidRDefault="00AD1735" w:rsidP="00B81B99">
      <w:pPr>
        <w:pStyle w:val="Heading1"/>
        <w:rPr>
          <w:rFonts w:eastAsia="Calibri" w:cs="Arial"/>
          <w:b w:val="0"/>
          <w:color w:val="auto"/>
          <w:sz w:val="24"/>
          <w:szCs w:val="24"/>
        </w:rPr>
      </w:pPr>
      <w:r w:rsidRPr="00AD1735">
        <w:rPr>
          <w:rFonts w:eastAsia="Calibri" w:cs="Arial"/>
          <w:b w:val="0"/>
          <w:color w:val="auto"/>
          <w:sz w:val="24"/>
          <w:szCs w:val="24"/>
        </w:rPr>
        <w:t>The purpose of this policy is to define the [entity’s] responsibility in responding to security threats affecting the confidentiality, integrity, and/or availability of information technology (IT) resources.</w:t>
      </w:r>
    </w:p>
    <w:p w14:paraId="2640E2B2" w14:textId="77777777" w:rsidR="00A14F68" w:rsidRPr="00B81B99" w:rsidRDefault="00A14F68" w:rsidP="00A14F68">
      <w:pPr>
        <w:pStyle w:val="Heading1"/>
        <w:rPr>
          <w:color w:val="auto"/>
        </w:rPr>
      </w:pPr>
      <w:r w:rsidRPr="00B81B99">
        <w:rPr>
          <w:color w:val="auto"/>
        </w:rPr>
        <w:t>2.0 Authority</w:t>
      </w:r>
    </w:p>
    <w:p w14:paraId="22459C89" w14:textId="77777777" w:rsidR="00A14F68" w:rsidRPr="00341FFE" w:rsidRDefault="00A14F68" w:rsidP="00A14F68">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6392ED63" w14:textId="77777777" w:rsidR="00A14F68" w:rsidRPr="00B81B99" w:rsidRDefault="00A14F68" w:rsidP="00A14F68">
      <w:pPr>
        <w:pStyle w:val="Heading1"/>
        <w:rPr>
          <w:color w:val="auto"/>
        </w:rPr>
      </w:pPr>
      <w:r w:rsidRPr="00B81B99">
        <w:rPr>
          <w:color w:val="auto"/>
        </w:rPr>
        <w:t>3.0 Scope</w:t>
      </w:r>
    </w:p>
    <w:p w14:paraId="16A9E2F5" w14:textId="77777777" w:rsidR="00A14F68" w:rsidRDefault="00A14F68" w:rsidP="00A14F68">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10CCDA0C" w:rsidR="00AB6B64" w:rsidRPr="00AD1735" w:rsidRDefault="00AD1735" w:rsidP="00587924">
      <w:pPr>
        <w:pStyle w:val="Default"/>
        <w:spacing w:before="120" w:after="200"/>
        <w:ind w:right="450"/>
        <w:jc w:val="both"/>
        <w:rPr>
          <w:color w:val="FF0000"/>
        </w:rPr>
      </w:pPr>
      <w:r w:rsidRPr="00AD1735">
        <w:rPr>
          <w:color w:val="FF0000"/>
        </w:rPr>
        <w:t>Needed</w:t>
      </w:r>
    </w:p>
    <w:p w14:paraId="589C9F41" w14:textId="1A31AB1D" w:rsidR="00625764" w:rsidRDefault="00AD1735"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Computer Emergency Response</w:t>
      </w:r>
    </w:p>
    <w:p w14:paraId="0B966F10" w14:textId="5E9FC237" w:rsidR="0075131B" w:rsidRPr="0010168A" w:rsidRDefault="00AD1735" w:rsidP="00587924">
      <w:pPr>
        <w:numPr>
          <w:ilvl w:val="1"/>
          <w:numId w:val="33"/>
        </w:numPr>
        <w:spacing w:after="120" w:line="240" w:lineRule="auto"/>
        <w:ind w:left="806" w:right="446"/>
        <w:jc w:val="both"/>
        <w:rPr>
          <w:rFonts w:ascii="Arial" w:hAnsi="Arial" w:cs="Arial"/>
          <w:sz w:val="24"/>
          <w:szCs w:val="24"/>
        </w:rPr>
      </w:pPr>
      <w:r w:rsidRPr="00AD1735">
        <w:rPr>
          <w:rFonts w:ascii="Arial" w:hAnsi="Arial" w:cs="Arial"/>
          <w:sz w:val="24"/>
          <w:szCs w:val="24"/>
        </w:rPr>
        <w:t xml:space="preserve">A Computer Emergency Response Team (CCERT) </w:t>
      </w:r>
      <w:proofErr w:type="gramStart"/>
      <w:r w:rsidRPr="00AD1735">
        <w:rPr>
          <w:rFonts w:ascii="Arial" w:hAnsi="Arial" w:cs="Arial"/>
          <w:sz w:val="24"/>
          <w:szCs w:val="24"/>
        </w:rPr>
        <w:t>shall</w:t>
      </w:r>
      <w:proofErr w:type="gramEnd"/>
      <w:r w:rsidRPr="00AD1735">
        <w:rPr>
          <w:rFonts w:ascii="Arial" w:hAnsi="Arial" w:cs="Arial"/>
          <w:sz w:val="24"/>
          <w:szCs w:val="24"/>
        </w:rPr>
        <w:t xml:space="preserve"> be established. The CCERT shall be led by the Chief Information Security Officer (CISO) or the Chief Information Officer or their equivalent when the CISO is not available.</w:t>
      </w:r>
    </w:p>
    <w:p w14:paraId="252F6240" w14:textId="516F5AFF" w:rsidR="0075131B"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lastRenderedPageBreak/>
        <w:t>The CCERT shall consist of representatives from all departments.</w:t>
      </w:r>
    </w:p>
    <w:p w14:paraId="3C4E81DE" w14:textId="3F9C40E7" w:rsidR="00AD1735"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t>The CCERT shall communicate security information, guidelines for notification processes, identify potential security risks, and coordinate responses to thwart, mitigate, or eliminate security threats to IT resources.</w:t>
      </w:r>
    </w:p>
    <w:p w14:paraId="7A94A2FC" w14:textId="26F5583A" w:rsidR="00AD1735" w:rsidRPr="0010168A"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t>Upon the activation of CCERT by the CISO, all Departmental Information Security Officers (DISO), and other CCERT representatives shall report directly to the CISO for the duration of the CCERT activation.</w:t>
      </w:r>
    </w:p>
    <w:p w14:paraId="25D8F5E3" w14:textId="5EB9DE95" w:rsidR="00AB6B64" w:rsidRPr="0010168A" w:rsidRDefault="00AD1735"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Departmental Computer Emergency Response</w:t>
      </w:r>
    </w:p>
    <w:p w14:paraId="0F5DC7A1" w14:textId="05C5EC02" w:rsidR="0075131B" w:rsidRPr="0010168A" w:rsidRDefault="00AD1735" w:rsidP="00587924">
      <w:pPr>
        <w:numPr>
          <w:ilvl w:val="0"/>
          <w:numId w:val="32"/>
        </w:numPr>
        <w:spacing w:after="120" w:line="240" w:lineRule="auto"/>
        <w:ind w:left="806" w:right="446"/>
        <w:jc w:val="both"/>
        <w:rPr>
          <w:rFonts w:ascii="Arial" w:hAnsi="Arial" w:cs="Arial"/>
          <w:sz w:val="24"/>
          <w:szCs w:val="24"/>
        </w:rPr>
      </w:pPr>
      <w:r w:rsidRPr="00AD1735">
        <w:rPr>
          <w:rFonts w:ascii="Arial" w:hAnsi="Arial" w:cs="Arial"/>
          <w:sz w:val="24"/>
          <w:szCs w:val="24"/>
        </w:rPr>
        <w:t xml:space="preserve">Each department shall establish a Departmental Computer Emergency Response Team (DCERT) that is led by </w:t>
      </w:r>
      <w:proofErr w:type="gramStart"/>
      <w:r w:rsidRPr="00AD1735">
        <w:rPr>
          <w:rFonts w:ascii="Arial" w:hAnsi="Arial" w:cs="Arial"/>
          <w:sz w:val="24"/>
          <w:szCs w:val="24"/>
        </w:rPr>
        <w:t>the DISO</w:t>
      </w:r>
      <w:proofErr w:type="gramEnd"/>
      <w:r w:rsidRPr="00AD1735">
        <w:rPr>
          <w:rFonts w:ascii="Arial" w:hAnsi="Arial" w:cs="Arial"/>
          <w:sz w:val="24"/>
          <w:szCs w:val="24"/>
        </w:rPr>
        <w:t xml:space="preserve"> and has the responsibility for responding to and/or coordinating the response to security threats to IT resources within the department.</w:t>
      </w:r>
    </w:p>
    <w:p w14:paraId="1BC02DE1" w14:textId="73CCF4D9" w:rsidR="0075131B" w:rsidRDefault="00AD1735" w:rsidP="00587924">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Representatives from each DCERT shall also be active participants in CCERT.</w:t>
      </w:r>
    </w:p>
    <w:p w14:paraId="018AF0DF" w14:textId="1E4919FD" w:rsidR="00AD1735" w:rsidRDefault="00AD1735" w:rsidP="00587924">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Upon the activation of a department’s DCERT by the DISO, all DCERT representatives shall report directly to the DISO for the duration of the DCERT activation.</w:t>
      </w:r>
    </w:p>
    <w:p w14:paraId="2A1C37AD" w14:textId="0015D6E7" w:rsidR="00AD1735" w:rsidRPr="00FF42A4" w:rsidRDefault="00AD1735" w:rsidP="00AD1735">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Each department shall establish and implement Departmental Computer Emergency Response Procedures that consist of the following, at minimum:</w:t>
      </w:r>
    </w:p>
    <w:p w14:paraId="39899885" w14:textId="77777777"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Creating an incident response policy and plan.</w:t>
      </w:r>
    </w:p>
    <w:p w14:paraId="0BD73CA8" w14:textId="471FBEDA"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Developing procedures for performing incident handling and reporting.</w:t>
      </w:r>
    </w:p>
    <w:p w14:paraId="46C99B75" w14:textId="50EDA95F"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Setting guidelines for communicating with outside parties regarding incidents.</w:t>
      </w:r>
    </w:p>
    <w:p w14:paraId="1359FD6D" w14:textId="47010564"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Selecting a team structure and staffing mode.</w:t>
      </w:r>
    </w:p>
    <w:p w14:paraId="52550413" w14:textId="175AF16D"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Establishing relationships and lines of communication between the incident response team and other groups, both internal (e.g., legal department) and external (e.g., law enforcement agencies</w:t>
      </w:r>
      <w:r>
        <w:rPr>
          <w:rFonts w:ascii="Arial" w:hAnsi="Arial" w:cs="Arial"/>
          <w:sz w:val="24"/>
          <w:szCs w:val="24"/>
        </w:rPr>
        <w:t>)</w:t>
      </w:r>
      <w:r w:rsidRPr="00FF42A4">
        <w:rPr>
          <w:rFonts w:ascii="Arial" w:hAnsi="Arial" w:cs="Arial"/>
          <w:sz w:val="24"/>
          <w:szCs w:val="24"/>
        </w:rPr>
        <w:t>.</w:t>
      </w:r>
    </w:p>
    <w:p w14:paraId="0D8285DD" w14:textId="26EE23F6"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Determining what services the incident response team should provide.</w:t>
      </w:r>
    </w:p>
    <w:p w14:paraId="576FE358" w14:textId="05D7A9F1" w:rsidR="00FF42A4" w:rsidRP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Staffing and training the incident response team.</w:t>
      </w:r>
    </w:p>
    <w:p w14:paraId="02ED03F7" w14:textId="6E1B77FD"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The DCERT shall inform the CCERT, as early as possible, of security threats to IT resources.</w:t>
      </w:r>
    </w:p>
    <w:p w14:paraId="435D6311" w14:textId="7E72CA32"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Each department shall develop a notification process, to ensure management notification within the department and to the CCERT, in response to IT security incidents.</w:t>
      </w:r>
    </w:p>
    <w:p w14:paraId="1AC8781B" w14:textId="175B0097"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 xml:space="preserve">The CCERT and DCERTs have the responsibility to take necessary corrective action to remediate IT security incidents.  Such action shall include all necessary steps to preserve evidence </w:t>
      </w:r>
      <w:proofErr w:type="gramStart"/>
      <w:r w:rsidRPr="00FF42A4">
        <w:rPr>
          <w:rFonts w:ascii="Arial" w:hAnsi="Arial" w:cs="Arial"/>
          <w:sz w:val="24"/>
          <w:szCs w:val="24"/>
        </w:rPr>
        <w:t>in order to</w:t>
      </w:r>
      <w:proofErr w:type="gramEnd"/>
      <w:r w:rsidRPr="00FF42A4">
        <w:rPr>
          <w:rFonts w:ascii="Arial" w:hAnsi="Arial" w:cs="Arial"/>
          <w:sz w:val="24"/>
          <w:szCs w:val="24"/>
        </w:rPr>
        <w:t xml:space="preserve"> facilitate the discovery, investigation, and prosecution of crimes against IT resources.</w:t>
      </w:r>
    </w:p>
    <w:p w14:paraId="3FD62265" w14:textId="160ADDF4"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lastRenderedPageBreak/>
        <w:t>Each department shall provide CCERT with contact information, including, without limitation, after-hours, for its primary and secondary CCERT representatives (e.g., DISO and Assistant DISO), and immediately notify CCERT of any changes to that information.</w:t>
      </w:r>
    </w:p>
    <w:p w14:paraId="3A28AE98" w14:textId="4679A873"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 xml:space="preserve">Each department </w:t>
      </w:r>
      <w:proofErr w:type="gramStart"/>
      <w:r w:rsidRPr="00FF42A4">
        <w:rPr>
          <w:rFonts w:ascii="Arial" w:hAnsi="Arial" w:cs="Arial"/>
          <w:sz w:val="24"/>
          <w:szCs w:val="24"/>
        </w:rPr>
        <w:t>shall</w:t>
      </w:r>
      <w:proofErr w:type="gramEnd"/>
      <w:r w:rsidRPr="00FF42A4">
        <w:rPr>
          <w:rFonts w:ascii="Arial" w:hAnsi="Arial" w:cs="Arial"/>
          <w:sz w:val="24"/>
          <w:szCs w:val="24"/>
        </w:rPr>
        <w:t xml:space="preserve"> maintain current contact information for all personnel who are important for the response to security threats to IT resources and/or the remediation of IT security incidents.</w:t>
      </w:r>
    </w:p>
    <w:p w14:paraId="440EF036" w14:textId="12BEE2D8"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Each department shall provide its primary and secondary CCERT representatives with adequate portable communication devices (e.g., cell phone and pager).</w:t>
      </w:r>
    </w:p>
    <w:p w14:paraId="269737CB" w14:textId="7BE9B2BE" w:rsidR="00AD1735" w:rsidRPr="00FF42A4" w:rsidRDefault="00FF42A4" w:rsidP="00AD1735">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 xml:space="preserve">In instances where violation of any law may have occurred, proper notifications shall be made in accordance with IT policies.  All necessary </w:t>
      </w:r>
      <w:proofErr w:type="gramStart"/>
      <w:r w:rsidRPr="00FF42A4">
        <w:rPr>
          <w:rFonts w:ascii="Arial" w:hAnsi="Arial" w:cs="Arial"/>
          <w:sz w:val="24"/>
          <w:szCs w:val="24"/>
        </w:rPr>
        <w:t>action</w:t>
      </w:r>
      <w:proofErr w:type="gramEnd"/>
      <w:r w:rsidRPr="00FF42A4">
        <w:rPr>
          <w:rFonts w:ascii="Arial" w:hAnsi="Arial" w:cs="Arial"/>
          <w:sz w:val="24"/>
          <w:szCs w:val="24"/>
        </w:rPr>
        <w:t xml:space="preserve"> shall be taken to preserve evidence and facilitate the administration of justice.</w:t>
      </w:r>
    </w:p>
    <w:p w14:paraId="72A0719E" w14:textId="77777777" w:rsidR="00FD26A2" w:rsidRPr="00B81B99" w:rsidRDefault="00AF069C" w:rsidP="00B81B99">
      <w:pPr>
        <w:pStyle w:val="Heading1"/>
        <w:rPr>
          <w:color w:val="auto"/>
        </w:rPr>
      </w:pPr>
      <w:r w:rsidRPr="00B81B99">
        <w:rPr>
          <w:color w:val="auto"/>
        </w:rPr>
        <w:t>5.0 Compliance</w:t>
      </w:r>
    </w:p>
    <w:p w14:paraId="7E638579" w14:textId="77777777" w:rsidR="00A14F68" w:rsidRPr="004F0D6F" w:rsidRDefault="00A14F68" w:rsidP="00A14F68">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B045C02" w14:textId="77777777" w:rsidR="00A14F68" w:rsidRDefault="00A14F68" w:rsidP="00A14F68">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04A826E" w14:textId="77777777" w:rsidR="00A14F68" w:rsidRDefault="00A14F68" w:rsidP="00A14F68">
      <w:pPr>
        <w:pStyle w:val="Heading1"/>
        <w:rPr>
          <w:color w:val="auto"/>
        </w:rPr>
      </w:pPr>
      <w:r>
        <w:rPr>
          <w:color w:val="auto"/>
        </w:rPr>
        <w:t>6</w:t>
      </w:r>
      <w:r w:rsidRPr="006E0CEF">
        <w:rPr>
          <w:color w:val="auto"/>
        </w:rPr>
        <w:t xml:space="preserve">.0 </w:t>
      </w:r>
      <w:r>
        <w:rPr>
          <w:color w:val="auto"/>
        </w:rPr>
        <w:t>Policy Exceptions</w:t>
      </w:r>
    </w:p>
    <w:p w14:paraId="457A749A" w14:textId="77777777" w:rsidR="00A14F68" w:rsidRPr="00EB3772" w:rsidRDefault="00A14F68" w:rsidP="00A14F68">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56586C50" w:rsidR="00FD26A2" w:rsidRPr="00B81B99" w:rsidRDefault="00A14F68"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B90A99F" w:rsidR="00426882" w:rsidRPr="00B81B99" w:rsidRDefault="00A14F68" w:rsidP="00B81B99">
      <w:pPr>
        <w:pStyle w:val="Heading1"/>
        <w:rPr>
          <w:color w:val="auto"/>
        </w:rPr>
      </w:pPr>
      <w:r>
        <w:rPr>
          <w:color w:val="auto"/>
        </w:rPr>
        <w:t>8</w:t>
      </w:r>
      <w:r w:rsidR="00FD26A2" w:rsidRPr="00B81B99">
        <w:rPr>
          <w:color w:val="auto"/>
        </w:rPr>
        <w:t>.0 Contact Information</w:t>
      </w:r>
    </w:p>
    <w:p w14:paraId="4FA3484D" w14:textId="77777777" w:rsidR="00A14F68" w:rsidRDefault="00A14F68" w:rsidP="00A14F68">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46198E0F" w14:textId="77777777" w:rsidR="00A14F68" w:rsidRDefault="00A14F68" w:rsidP="00A14F68">
      <w:pPr>
        <w:spacing w:after="0" w:line="240" w:lineRule="auto"/>
        <w:ind w:right="446"/>
        <w:jc w:val="center"/>
        <w:rPr>
          <w:rFonts w:ascii="Arial" w:hAnsi="Arial" w:cs="Arial"/>
          <w:sz w:val="24"/>
          <w:szCs w:val="24"/>
        </w:rPr>
      </w:pPr>
    </w:p>
    <w:p w14:paraId="5D6BB85A" w14:textId="77777777" w:rsidR="00A14F68" w:rsidRPr="00EB3772" w:rsidRDefault="00A14F68" w:rsidP="00A14F68">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4E2891CB" w:rsidR="00FD26A2" w:rsidRPr="00B81B99" w:rsidRDefault="00A14F68" w:rsidP="00B81B99">
      <w:pPr>
        <w:pStyle w:val="Heading1"/>
        <w:rPr>
          <w:color w:val="auto"/>
        </w:rPr>
      </w:pPr>
      <w:r>
        <w:rPr>
          <w:color w:val="auto"/>
        </w:rPr>
        <w:lastRenderedPageBreak/>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0984C38" w:rsidR="00862653" w:rsidRPr="00B81B99" w:rsidRDefault="00A14F68" w:rsidP="00B81B99">
      <w:pPr>
        <w:pStyle w:val="Heading1"/>
      </w:pPr>
      <w:r>
        <w:rPr>
          <w:color w:val="auto"/>
        </w:rPr>
        <w:t>10</w:t>
      </w:r>
      <w:r w:rsidR="00FD26A2" w:rsidRPr="00B81B99">
        <w:rPr>
          <w:color w:val="auto"/>
        </w:rPr>
        <w:t>.0 Related Documents</w:t>
      </w:r>
    </w:p>
    <w:p w14:paraId="69B5765B" w14:textId="7EF1B168" w:rsidR="00EA7781" w:rsidRPr="00AD1735" w:rsidRDefault="0073036D" w:rsidP="00AD1735">
      <w:pPr>
        <w:autoSpaceDE w:val="0"/>
        <w:autoSpaceDN w:val="0"/>
        <w:adjustRightInd w:val="0"/>
        <w:ind w:right="450"/>
        <w:jc w:val="both"/>
        <w:rPr>
          <w:rStyle w:val="Hyperlink"/>
          <w:rFonts w:ascii="Arial" w:hAnsi="Arial" w:cs="Arial"/>
          <w:color w:val="auto"/>
          <w:sz w:val="24"/>
          <w:szCs w:val="24"/>
          <w:u w:val="none"/>
        </w:rPr>
      </w:pPr>
      <w:r w:rsidRPr="00AD1735">
        <w:rPr>
          <w:rFonts w:ascii="Arial" w:hAnsi="Arial" w:cs="Arial"/>
          <w:sz w:val="24"/>
          <w:szCs w:val="24"/>
        </w:rPr>
        <w:t>NIST Special Publication 800-92, Guide to Computer Security Log Management</w:t>
      </w:r>
      <w:bookmarkStart w:id="4" w:name="AppendixA"/>
      <w:bookmarkEnd w:id="4"/>
    </w:p>
    <w:p w14:paraId="72825194" w14:textId="52162E96" w:rsidR="0073036D" w:rsidRDefault="00AD1735" w:rsidP="00AD1735">
      <w:pPr>
        <w:rPr>
          <w:rFonts w:ascii="Arial" w:hAnsi="Arial" w:cs="Arial"/>
          <w:sz w:val="24"/>
          <w:szCs w:val="24"/>
        </w:rPr>
      </w:pPr>
      <w:r w:rsidRPr="00583623">
        <w:rPr>
          <w:rFonts w:ascii="Arial" w:hAnsi="Arial" w:cs="Arial"/>
          <w:sz w:val="24"/>
          <w:szCs w:val="24"/>
          <w:shd w:val="clear" w:color="auto" w:fill="FFFFFF"/>
        </w:rPr>
        <w:t xml:space="preserve">National Institute of Standards and Technology (NIST) Special Publication (SP): </w:t>
      </w:r>
      <w:r w:rsidRPr="00583623">
        <w:rPr>
          <w:rFonts w:ascii="Arial" w:hAnsi="Arial" w:cs="Arial"/>
          <w:sz w:val="24"/>
          <w:szCs w:val="24"/>
        </w:rPr>
        <w:t>NIST SP 800-61 - Computer Security Incident Handling Guide</w:t>
      </w:r>
    </w:p>
    <w:p w14:paraId="2287A44D" w14:textId="195ADEA9" w:rsidR="00FF42A4" w:rsidRDefault="00A14F68" w:rsidP="00AD1735">
      <w:pPr>
        <w:rPr>
          <w:rFonts w:ascii="Arial" w:hAnsi="Arial" w:cs="Arial"/>
          <w:sz w:val="24"/>
          <w:szCs w:val="24"/>
        </w:rPr>
      </w:pPr>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43D82BC0" w14:textId="77777777" w:rsidR="00FF42A4" w:rsidRPr="001C04B4" w:rsidRDefault="00FF42A4" w:rsidP="00AD1735">
      <w:pPr>
        <w:rPr>
          <w:rFonts w:ascii="Arial" w:hAnsi="Arial" w:cs="Arial"/>
          <w:sz w:val="24"/>
          <w:szCs w:val="24"/>
        </w:rPr>
      </w:pPr>
    </w:p>
    <w:sectPr w:rsidR="00FF42A4" w:rsidRPr="001C04B4" w:rsidSect="00517A11">
      <w:headerReference w:type="even" r:id="rId11"/>
      <w:headerReference w:type="default" r:id="rId12"/>
      <w:footerReference w:type="even" r:id="rId13"/>
      <w:footerReference w:type="default" r:id="rId14"/>
      <w:headerReference w:type="first" r:id="rId15"/>
      <w:footerReference w:type="first" r:id="rId16"/>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297BC" w14:textId="77777777" w:rsidR="007D6498" w:rsidRDefault="007D6498" w:rsidP="00D212FD">
      <w:pPr>
        <w:spacing w:after="0" w:line="240" w:lineRule="auto"/>
      </w:pPr>
      <w:r>
        <w:separator/>
      </w:r>
    </w:p>
  </w:endnote>
  <w:endnote w:type="continuationSeparator" w:id="0">
    <w:p w14:paraId="5BFD5007" w14:textId="77777777" w:rsidR="007D6498" w:rsidRDefault="007D6498" w:rsidP="00D212FD">
      <w:pPr>
        <w:spacing w:after="0" w:line="240" w:lineRule="auto"/>
      </w:pPr>
      <w:r>
        <w:continuationSeparator/>
      </w:r>
    </w:p>
  </w:endnote>
  <w:endnote w:type="continuationNotice" w:id="1">
    <w:p w14:paraId="70B8174F" w14:textId="77777777" w:rsidR="007D6498" w:rsidRDefault="007D6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61FB" w14:textId="77777777" w:rsidR="00C0025B" w:rsidRDefault="00C00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38C2F" w14:textId="722239AE" w:rsidR="00C0025B" w:rsidRPr="009D4DB0" w:rsidRDefault="00C0025B" w:rsidP="00C0025B">
    <w:pPr>
      <w:pStyle w:val="Footer"/>
      <w:rPr>
        <w:rFonts w:ascii="Arial" w:hAnsi="Arial" w:cs="Arial"/>
        <w:b/>
        <w:sz w:val="20"/>
        <w:szCs w:val="16"/>
      </w:rPr>
    </w:pPr>
    <w:r w:rsidRPr="00AD1735">
      <w:rPr>
        <w:rFonts w:ascii="Arial" w:hAnsi="Arial" w:cs="Arial"/>
        <w:b/>
        <w:sz w:val="20"/>
        <w:szCs w:val="16"/>
      </w:rPr>
      <w:t>Computer Security Threat Response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A14F68">
      <w:rPr>
        <w:rFonts w:ascii="Arial" w:hAnsi="Arial" w:cs="Arial"/>
        <w:b/>
        <w:noProof/>
        <w:sz w:val="20"/>
        <w:szCs w:val="16"/>
      </w:rPr>
      <w:t>4</w:t>
    </w:r>
    <w:r w:rsidRPr="009D4DB0">
      <w:rPr>
        <w:rFonts w:ascii="Arial" w:hAnsi="Arial" w:cs="Arial"/>
        <w:b/>
        <w:sz w:val="20"/>
        <w:szCs w:val="16"/>
      </w:rPr>
      <w:fldChar w:fldCharType="end"/>
    </w:r>
  </w:p>
  <w:p w14:paraId="2D5113C8" w14:textId="081EE3C4" w:rsidR="00C0025B" w:rsidRDefault="00C0025B" w:rsidP="00C0025B">
    <w:pPr>
      <w:pStyle w:val="Footer"/>
      <w:tabs>
        <w:tab w:val="clear" w:pos="4680"/>
        <w:tab w:val="clear" w:pos="9360"/>
        <w:tab w:val="left" w:pos="352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73AA626B" w:rsidR="007B5EB1" w:rsidRPr="009D4DB0" w:rsidRDefault="00AD1735" w:rsidP="007B5EB1">
    <w:pPr>
      <w:pStyle w:val="Footer"/>
      <w:rPr>
        <w:rFonts w:ascii="Arial" w:hAnsi="Arial" w:cs="Arial"/>
        <w:b/>
        <w:sz w:val="20"/>
        <w:szCs w:val="16"/>
      </w:rPr>
    </w:pPr>
    <w:r w:rsidRPr="00AD1735">
      <w:rPr>
        <w:rFonts w:ascii="Arial" w:hAnsi="Arial" w:cs="Arial"/>
        <w:b/>
        <w:sz w:val="20"/>
        <w:szCs w:val="16"/>
      </w:rPr>
      <w:t>Computer Security Threat Response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A14F68">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5EBA9" w14:textId="77777777" w:rsidR="007D6498" w:rsidRDefault="007D6498" w:rsidP="00D212FD">
      <w:pPr>
        <w:spacing w:after="0" w:line="240" w:lineRule="auto"/>
      </w:pPr>
      <w:r>
        <w:separator/>
      </w:r>
    </w:p>
  </w:footnote>
  <w:footnote w:type="continuationSeparator" w:id="0">
    <w:p w14:paraId="37F37F0E" w14:textId="77777777" w:rsidR="007D6498" w:rsidRDefault="007D6498" w:rsidP="00D212FD">
      <w:pPr>
        <w:spacing w:after="0" w:line="240" w:lineRule="auto"/>
      </w:pPr>
      <w:r>
        <w:continuationSeparator/>
      </w:r>
    </w:p>
  </w:footnote>
  <w:footnote w:type="continuationNotice" w:id="1">
    <w:p w14:paraId="1CBB086B" w14:textId="77777777" w:rsidR="007D6498" w:rsidRDefault="007D64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E380D" w14:textId="77777777" w:rsidR="00C0025B" w:rsidRDefault="00C00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F1EFC" w14:textId="77777777" w:rsidR="00C0025B" w:rsidRDefault="00C00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926D" w14:textId="77777777" w:rsidR="00C0025B" w:rsidRDefault="00C00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6.5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E0A39"/>
    <w:multiLevelType w:val="hybridMultilevel"/>
    <w:tmpl w:val="AE14C5AE"/>
    <w:lvl w:ilvl="0" w:tplc="0409001B">
      <w:start w:val="1"/>
      <w:numFmt w:val="lowerRoman"/>
      <w:lvlText w:val="%1."/>
      <w:lvlJc w:val="righ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3"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5541399">
    <w:abstractNumId w:val="6"/>
  </w:num>
  <w:num w:numId="2" w16cid:durableId="1425614078">
    <w:abstractNumId w:val="7"/>
  </w:num>
  <w:num w:numId="3" w16cid:durableId="1943103082">
    <w:abstractNumId w:val="8"/>
  </w:num>
  <w:num w:numId="4" w16cid:durableId="1755199512">
    <w:abstractNumId w:val="36"/>
  </w:num>
  <w:num w:numId="5" w16cid:durableId="1221289972">
    <w:abstractNumId w:val="9"/>
  </w:num>
  <w:num w:numId="6" w16cid:durableId="1146505688">
    <w:abstractNumId w:val="15"/>
  </w:num>
  <w:num w:numId="7" w16cid:durableId="1762099050">
    <w:abstractNumId w:val="21"/>
  </w:num>
  <w:num w:numId="8" w16cid:durableId="1679506279">
    <w:abstractNumId w:val="28"/>
  </w:num>
  <w:num w:numId="9" w16cid:durableId="1074166125">
    <w:abstractNumId w:val="22"/>
  </w:num>
  <w:num w:numId="10" w16cid:durableId="1063602259">
    <w:abstractNumId w:val="29"/>
  </w:num>
  <w:num w:numId="11" w16cid:durableId="1789816548">
    <w:abstractNumId w:val="10"/>
  </w:num>
  <w:num w:numId="12" w16cid:durableId="347878576">
    <w:abstractNumId w:val="19"/>
  </w:num>
  <w:num w:numId="13" w16cid:durableId="234511241">
    <w:abstractNumId w:val="25"/>
  </w:num>
  <w:num w:numId="14" w16cid:durableId="1147084855">
    <w:abstractNumId w:val="35"/>
  </w:num>
  <w:num w:numId="15" w16cid:durableId="901909439">
    <w:abstractNumId w:val="23"/>
  </w:num>
  <w:num w:numId="16" w16cid:durableId="895972004">
    <w:abstractNumId w:val="34"/>
  </w:num>
  <w:num w:numId="17" w16cid:durableId="1930504052">
    <w:abstractNumId w:val="13"/>
  </w:num>
  <w:num w:numId="18" w16cid:durableId="409816558">
    <w:abstractNumId w:val="3"/>
  </w:num>
  <w:num w:numId="19" w16cid:durableId="1484588363">
    <w:abstractNumId w:val="16"/>
  </w:num>
  <w:num w:numId="20" w16cid:durableId="1893539790">
    <w:abstractNumId w:val="4"/>
  </w:num>
  <w:num w:numId="21" w16cid:durableId="1637024800">
    <w:abstractNumId w:val="32"/>
  </w:num>
  <w:num w:numId="22" w16cid:durableId="1432628899">
    <w:abstractNumId w:val="0"/>
  </w:num>
  <w:num w:numId="23" w16cid:durableId="787817442">
    <w:abstractNumId w:val="18"/>
  </w:num>
  <w:num w:numId="24" w16cid:durableId="1828204399">
    <w:abstractNumId w:val="12"/>
  </w:num>
  <w:num w:numId="25" w16cid:durableId="1436561195">
    <w:abstractNumId w:val="5"/>
  </w:num>
  <w:num w:numId="26" w16cid:durableId="2021928585">
    <w:abstractNumId w:val="23"/>
  </w:num>
  <w:num w:numId="27" w16cid:durableId="1345089994">
    <w:abstractNumId w:val="2"/>
  </w:num>
  <w:num w:numId="28" w16cid:durableId="1908414279">
    <w:abstractNumId w:val="24"/>
  </w:num>
  <w:num w:numId="29" w16cid:durableId="251015804">
    <w:abstractNumId w:val="24"/>
  </w:num>
  <w:num w:numId="30" w16cid:durableId="1756901361">
    <w:abstractNumId w:val="1"/>
  </w:num>
  <w:num w:numId="31" w16cid:durableId="1173639957">
    <w:abstractNumId w:val="31"/>
  </w:num>
  <w:num w:numId="32" w16cid:durableId="853543503">
    <w:abstractNumId w:val="11"/>
  </w:num>
  <w:num w:numId="33" w16cid:durableId="1715544044">
    <w:abstractNumId w:val="30"/>
  </w:num>
  <w:num w:numId="34" w16cid:durableId="1958179506">
    <w:abstractNumId w:val="33"/>
  </w:num>
  <w:num w:numId="35" w16cid:durableId="1459179711">
    <w:abstractNumId w:val="17"/>
  </w:num>
  <w:num w:numId="36" w16cid:durableId="1681663272">
    <w:abstractNumId w:val="27"/>
  </w:num>
  <w:num w:numId="37" w16cid:durableId="2062362427">
    <w:abstractNumId w:val="26"/>
  </w:num>
  <w:num w:numId="38" w16cid:durableId="1632907179">
    <w:abstractNumId w:val="14"/>
  </w:num>
  <w:num w:numId="39" w16cid:durableId="4364914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171AD"/>
    <w:rsid w:val="00025AD3"/>
    <w:rsid w:val="0003290F"/>
    <w:rsid w:val="0004473F"/>
    <w:rsid w:val="00064308"/>
    <w:rsid w:val="000649E1"/>
    <w:rsid w:val="00067349"/>
    <w:rsid w:val="00067BF2"/>
    <w:rsid w:val="0008459D"/>
    <w:rsid w:val="00095A86"/>
    <w:rsid w:val="00097E7D"/>
    <w:rsid w:val="000A59A3"/>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9373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085D"/>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537FB"/>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D6498"/>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14F68"/>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35"/>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025B"/>
    <w:rsid w:val="00C02157"/>
    <w:rsid w:val="00C063C2"/>
    <w:rsid w:val="00C17CED"/>
    <w:rsid w:val="00C23014"/>
    <w:rsid w:val="00C23DE6"/>
    <w:rsid w:val="00C36E6B"/>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6F93"/>
    <w:rsid w:val="00CF71F6"/>
    <w:rsid w:val="00D00D2F"/>
    <w:rsid w:val="00D01A3B"/>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142"/>
    <w:rsid w:val="00E71E67"/>
    <w:rsid w:val="00E7277A"/>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 w:val="00FF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A4"/>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2</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2</cp:revision>
  <dcterms:created xsi:type="dcterms:W3CDTF">2019-11-04T16:21:00Z</dcterms:created>
  <dcterms:modified xsi:type="dcterms:W3CDTF">2024-10-15T20:32:00Z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