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F93D16" w:rsidRPr="00D62A1C" w14:paraId="5B1A3B23" w14:textId="77777777" w:rsidTr="00F25487">
        <w:trPr>
          <w:trHeight w:val="713"/>
        </w:trPr>
        <w:tc>
          <w:tcPr>
            <w:tcW w:w="5328" w:type="dxa"/>
            <w:shd w:val="clear" w:color="auto" w:fill="auto"/>
          </w:tcPr>
          <w:p w14:paraId="1E8C8A7C" w14:textId="77777777" w:rsidR="00F93D16" w:rsidRPr="00351561" w:rsidRDefault="00F93D16" w:rsidP="00F25487">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10A97624" w14:textId="77777777" w:rsidR="00F93D16" w:rsidRPr="003325C1" w:rsidRDefault="00F93D16" w:rsidP="00F25487">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5025F44E" w14:textId="77777777" w:rsidR="00F93D16" w:rsidRPr="003325C1" w:rsidRDefault="00F93D16" w:rsidP="00F25487">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F93D16" w:rsidRPr="00D62A1C" w14:paraId="5D4CF55C" w14:textId="77777777" w:rsidTr="00F25487">
        <w:trPr>
          <w:trHeight w:val="617"/>
        </w:trPr>
        <w:tc>
          <w:tcPr>
            <w:tcW w:w="5328" w:type="dxa"/>
            <w:vMerge w:val="restart"/>
            <w:shd w:val="clear" w:color="auto" w:fill="auto"/>
          </w:tcPr>
          <w:p w14:paraId="185B8FA6" w14:textId="77777777" w:rsidR="00F93D16" w:rsidRPr="003325C1" w:rsidRDefault="00F93D16" w:rsidP="00F25487">
            <w:pPr>
              <w:spacing w:after="0" w:line="240" w:lineRule="auto"/>
              <w:jc w:val="center"/>
              <w:rPr>
                <w:rFonts w:ascii="Arial" w:hAnsi="Arial" w:cs="Arial"/>
                <w:sz w:val="24"/>
                <w:szCs w:val="40"/>
              </w:rPr>
            </w:pPr>
          </w:p>
          <w:p w14:paraId="0BA2964B" w14:textId="77777777" w:rsidR="00F93D16" w:rsidRPr="003325C1" w:rsidRDefault="00F93D16" w:rsidP="00F25487">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776C7D8E" w14:textId="77777777" w:rsidR="00F93D16" w:rsidRPr="003325C1" w:rsidRDefault="00F93D16" w:rsidP="00F25487">
            <w:pPr>
              <w:spacing w:after="0" w:line="240" w:lineRule="auto"/>
              <w:jc w:val="center"/>
              <w:rPr>
                <w:rFonts w:ascii="Arial" w:hAnsi="Arial" w:cs="Arial"/>
                <w:sz w:val="24"/>
                <w:szCs w:val="40"/>
              </w:rPr>
            </w:pPr>
          </w:p>
          <w:p w14:paraId="1819A746" w14:textId="3AC9BB0B" w:rsidR="00F93D16" w:rsidRPr="003325C1" w:rsidRDefault="00F93D16" w:rsidP="00F25487">
            <w:pPr>
              <w:spacing w:after="240" w:line="240" w:lineRule="auto"/>
              <w:jc w:val="center"/>
              <w:rPr>
                <w:rFonts w:ascii="Arial" w:hAnsi="Arial" w:cs="Arial"/>
                <w:b/>
                <w:sz w:val="52"/>
                <w:szCs w:val="52"/>
              </w:rPr>
            </w:pPr>
            <w:r w:rsidRPr="00F93D16">
              <w:rPr>
                <w:rFonts w:ascii="Arial" w:hAnsi="Arial" w:cs="Arial"/>
                <w:b/>
                <w:sz w:val="40"/>
              </w:rPr>
              <w:t>Incident Response Policy</w:t>
            </w:r>
          </w:p>
        </w:tc>
        <w:tc>
          <w:tcPr>
            <w:tcW w:w="4837" w:type="dxa"/>
            <w:vAlign w:val="center"/>
          </w:tcPr>
          <w:p w14:paraId="2B32F77B" w14:textId="77777777" w:rsidR="00F93D16" w:rsidRPr="003325C1" w:rsidRDefault="00F93D16" w:rsidP="00F25487">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F93D16" w:rsidRPr="00D62A1C" w14:paraId="43D33ABE" w14:textId="77777777" w:rsidTr="00F25487">
        <w:trPr>
          <w:trHeight w:val="1517"/>
        </w:trPr>
        <w:tc>
          <w:tcPr>
            <w:tcW w:w="5328" w:type="dxa"/>
            <w:vMerge/>
            <w:shd w:val="clear" w:color="auto" w:fill="auto"/>
          </w:tcPr>
          <w:p w14:paraId="6C6DB5CB" w14:textId="77777777" w:rsidR="00F93D16" w:rsidRPr="003325C1" w:rsidRDefault="00F93D16" w:rsidP="00F25487">
            <w:pPr>
              <w:spacing w:after="0" w:line="240" w:lineRule="auto"/>
              <w:rPr>
                <w:rFonts w:ascii="Arial" w:hAnsi="Arial" w:cs="Arial"/>
              </w:rPr>
            </w:pPr>
          </w:p>
        </w:tc>
        <w:tc>
          <w:tcPr>
            <w:tcW w:w="4837" w:type="dxa"/>
          </w:tcPr>
          <w:p w14:paraId="47E411C0" w14:textId="77777777" w:rsidR="00F93D16" w:rsidRPr="00C87DEF" w:rsidRDefault="00F93D16" w:rsidP="00F25487">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1389C6E6" w14:textId="77777777" w:rsidR="00F93D16" w:rsidRPr="003325C1" w:rsidRDefault="00F93D16" w:rsidP="00F25487">
            <w:pPr>
              <w:spacing w:after="0" w:line="240" w:lineRule="auto"/>
              <w:rPr>
                <w:rFonts w:ascii="Arial" w:hAnsi="Arial" w:cs="Arial"/>
                <w:sz w:val="24"/>
              </w:rPr>
            </w:pPr>
          </w:p>
          <w:p w14:paraId="27A0185C" w14:textId="77777777" w:rsidR="00F93D16" w:rsidRPr="003325C1" w:rsidRDefault="00F93D16" w:rsidP="00F25487">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2D68E789" w14:textId="77777777" w:rsidR="00932826" w:rsidRDefault="00932826" w:rsidP="00932826">
      <w:pPr>
        <w:rPr>
          <w:rFonts w:ascii="Arial" w:hAnsi="Arial" w:cs="Arial"/>
          <w:sz w:val="24"/>
          <w:szCs w:val="24"/>
        </w:rPr>
      </w:pPr>
      <w:r w:rsidRPr="000D6811">
        <w:rPr>
          <w:rFonts w:ascii="Arial" w:hAnsi="Arial" w:cs="Arial"/>
          <w:sz w:val="24"/>
          <w:szCs w:val="24"/>
        </w:rPr>
        <w:t xml:space="preserve">To ensure that Information Technology (IT) </w:t>
      </w:r>
      <w:r>
        <w:rPr>
          <w:rFonts w:ascii="Arial" w:hAnsi="Arial" w:cs="Arial"/>
          <w:sz w:val="24"/>
          <w:szCs w:val="24"/>
        </w:rPr>
        <w:t xml:space="preserve">properly identifies, contains, investigates, remedies, reports, and </w:t>
      </w:r>
      <w:r w:rsidRPr="000D6811">
        <w:rPr>
          <w:rFonts w:ascii="Arial" w:hAnsi="Arial" w:cs="Arial"/>
          <w:sz w:val="24"/>
          <w:szCs w:val="24"/>
        </w:rPr>
        <w:t xml:space="preserve">responds to </w:t>
      </w:r>
      <w:r>
        <w:rPr>
          <w:rFonts w:ascii="Arial" w:hAnsi="Arial" w:cs="Arial"/>
          <w:sz w:val="24"/>
          <w:szCs w:val="24"/>
        </w:rPr>
        <w:t xml:space="preserve">computer security incidents.  </w:t>
      </w:r>
    </w:p>
    <w:p w14:paraId="514994D5" w14:textId="77777777" w:rsidR="00F93D16" w:rsidRPr="00B81B99" w:rsidRDefault="00F93D16" w:rsidP="00F93D16">
      <w:pPr>
        <w:pStyle w:val="Heading1"/>
        <w:rPr>
          <w:color w:val="auto"/>
        </w:rPr>
      </w:pPr>
      <w:bookmarkStart w:id="3" w:name="_Hlk179891485"/>
      <w:r w:rsidRPr="00B81B99">
        <w:rPr>
          <w:color w:val="auto"/>
        </w:rPr>
        <w:t>2.0 Authority</w:t>
      </w:r>
    </w:p>
    <w:p w14:paraId="0EDF924A" w14:textId="77777777" w:rsidR="00F93D16" w:rsidRPr="00341FFE" w:rsidRDefault="00F93D16" w:rsidP="00F93D16">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31FBCB5E" w14:textId="77777777" w:rsidR="00F93D16" w:rsidRPr="00B81B99" w:rsidRDefault="00F93D16" w:rsidP="00F93D16">
      <w:pPr>
        <w:pStyle w:val="Heading1"/>
        <w:rPr>
          <w:color w:val="auto"/>
        </w:rPr>
      </w:pPr>
      <w:r w:rsidRPr="00B81B99">
        <w:rPr>
          <w:color w:val="auto"/>
        </w:rPr>
        <w:t>3.0 Scope</w:t>
      </w:r>
    </w:p>
    <w:p w14:paraId="23B5AE9D" w14:textId="77777777" w:rsidR="00F93D16" w:rsidRDefault="00F93D16" w:rsidP="00F93D16">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bookmarkEnd w:id="3"/>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2297AB7D" w:rsidR="00AB6B64" w:rsidRPr="00932826" w:rsidRDefault="00932826" w:rsidP="00587924">
      <w:pPr>
        <w:pStyle w:val="Default"/>
        <w:spacing w:before="120" w:after="200"/>
        <w:ind w:right="450"/>
        <w:jc w:val="both"/>
        <w:rPr>
          <w:i/>
          <w:iCs/>
        </w:rPr>
      </w:pPr>
      <w:r w:rsidRPr="00932826">
        <w:rPr>
          <w:i/>
          <w:iCs/>
        </w:rPr>
        <w:t>Information statement needed</w:t>
      </w:r>
    </w:p>
    <w:p w14:paraId="589C9F41" w14:textId="050B5D72" w:rsidR="00625764" w:rsidRDefault="00932826"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Incident Response Policy</w:t>
      </w:r>
    </w:p>
    <w:p w14:paraId="7EE1E459" w14:textId="4162CC5A"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F93D16" w:rsidRPr="00F93D16">
        <w:rPr>
          <w:rFonts w:ascii="Arial" w:hAnsi="Arial" w:cs="Arial"/>
          <w:color w:val="FF0000"/>
          <w:sz w:val="24"/>
          <w:szCs w:val="24"/>
        </w:rPr>
        <w:t>[entity]</w:t>
      </w:r>
      <w:r>
        <w:rPr>
          <w:rFonts w:ascii="Arial" w:hAnsi="Arial" w:cs="Arial"/>
          <w:sz w:val="24"/>
          <w:szCs w:val="24"/>
        </w:rPr>
        <w:t xml:space="preserve"> </w:t>
      </w:r>
      <w:r w:rsidRPr="00E819AA">
        <w:rPr>
          <w:rFonts w:ascii="Arial" w:hAnsi="Arial" w:cs="Arial"/>
          <w:sz w:val="24"/>
          <w:szCs w:val="24"/>
        </w:rPr>
        <w:t>shall:</w:t>
      </w:r>
    </w:p>
    <w:p w14:paraId="72DFB828" w14:textId="74EF77F4" w:rsidR="00B44150" w:rsidRDefault="00B44150" w:rsidP="00B44150">
      <w:pPr>
        <w:numPr>
          <w:ilvl w:val="0"/>
          <w:numId w:val="32"/>
        </w:numPr>
        <w:spacing w:after="120" w:line="240" w:lineRule="auto"/>
        <w:ind w:left="806" w:right="446"/>
        <w:jc w:val="both"/>
        <w:rPr>
          <w:rFonts w:ascii="Arial" w:hAnsi="Arial" w:cs="Arial"/>
          <w:sz w:val="24"/>
          <w:szCs w:val="24"/>
        </w:rPr>
      </w:pPr>
      <w:r w:rsidRPr="00B44150">
        <w:rPr>
          <w:rFonts w:ascii="Arial" w:hAnsi="Arial" w:cs="Arial"/>
          <w:sz w:val="24"/>
          <w:szCs w:val="24"/>
        </w:rPr>
        <w:t>Provide incident response training to information system users consistent with assigned roles and responsibilities:</w:t>
      </w:r>
    </w:p>
    <w:p w14:paraId="0BA8BA6A" w14:textId="668A70F3" w:rsidR="00B44150" w:rsidRDefault="00B44150" w:rsidP="00B44150">
      <w:pPr>
        <w:numPr>
          <w:ilvl w:val="0"/>
          <w:numId w:val="42"/>
        </w:numPr>
        <w:spacing w:after="120" w:line="240" w:lineRule="auto"/>
        <w:ind w:right="446"/>
        <w:jc w:val="both"/>
        <w:rPr>
          <w:rFonts w:ascii="Arial" w:hAnsi="Arial" w:cs="Arial"/>
          <w:sz w:val="24"/>
          <w:szCs w:val="24"/>
        </w:rPr>
      </w:pPr>
      <w:r w:rsidRPr="00B44150">
        <w:rPr>
          <w:rFonts w:ascii="Arial" w:hAnsi="Arial" w:cs="Arial"/>
          <w:sz w:val="24"/>
          <w:szCs w:val="24"/>
        </w:rPr>
        <w:lastRenderedPageBreak/>
        <w:t xml:space="preserve">Within </w:t>
      </w:r>
      <w:r w:rsidRPr="00F93D16">
        <w:rPr>
          <w:rFonts w:ascii="Arial" w:hAnsi="Arial" w:cs="Arial"/>
          <w:color w:val="FF0000"/>
          <w:sz w:val="24"/>
          <w:szCs w:val="24"/>
        </w:rPr>
        <w:t xml:space="preserve">[entity defined </w:t>
      </w:r>
      <w:proofErr w:type="gramStart"/>
      <w:r w:rsidRPr="00F93D16">
        <w:rPr>
          <w:rFonts w:ascii="Arial" w:hAnsi="Arial" w:cs="Arial"/>
          <w:color w:val="FF0000"/>
          <w:sz w:val="24"/>
          <w:szCs w:val="24"/>
        </w:rPr>
        <w:t>time period</w:t>
      </w:r>
      <w:proofErr w:type="gramEnd"/>
      <w:r w:rsidRPr="00F93D16">
        <w:rPr>
          <w:rFonts w:ascii="Arial" w:hAnsi="Arial" w:cs="Arial"/>
          <w:color w:val="FF0000"/>
          <w:sz w:val="24"/>
          <w:szCs w:val="24"/>
        </w:rPr>
        <w:t xml:space="preserve">] </w:t>
      </w:r>
      <w:r w:rsidRPr="00B44150">
        <w:rPr>
          <w:rFonts w:ascii="Arial" w:hAnsi="Arial" w:cs="Arial"/>
          <w:sz w:val="24"/>
          <w:szCs w:val="24"/>
        </w:rPr>
        <w:t>of assuming an incident response role or responsibilit</w:t>
      </w:r>
      <w:r>
        <w:rPr>
          <w:rFonts w:ascii="Arial" w:hAnsi="Arial" w:cs="Arial"/>
          <w:sz w:val="24"/>
          <w:szCs w:val="24"/>
        </w:rPr>
        <w:t>y.</w:t>
      </w:r>
    </w:p>
    <w:p w14:paraId="2350A908" w14:textId="360FBEDF" w:rsidR="00B44150" w:rsidRPr="00B44150" w:rsidRDefault="00B44150" w:rsidP="00B44150">
      <w:pPr>
        <w:numPr>
          <w:ilvl w:val="0"/>
          <w:numId w:val="42"/>
        </w:numPr>
        <w:spacing w:after="120" w:line="240" w:lineRule="auto"/>
        <w:ind w:right="446"/>
        <w:jc w:val="both"/>
        <w:rPr>
          <w:rFonts w:ascii="Arial" w:hAnsi="Arial" w:cs="Arial"/>
          <w:sz w:val="24"/>
          <w:szCs w:val="24"/>
        </w:rPr>
      </w:pPr>
      <w:r w:rsidRPr="00B44150">
        <w:rPr>
          <w:rFonts w:ascii="Arial" w:hAnsi="Arial" w:cs="Arial"/>
          <w:sz w:val="24"/>
          <w:szCs w:val="24"/>
        </w:rPr>
        <w:t xml:space="preserve">When required by information system changes, and </w:t>
      </w:r>
      <w:r w:rsidRPr="00F93D16">
        <w:rPr>
          <w:rFonts w:ascii="Arial" w:hAnsi="Arial" w:cs="Arial"/>
          <w:color w:val="FF0000"/>
          <w:sz w:val="24"/>
          <w:szCs w:val="24"/>
        </w:rPr>
        <w:t>[entity defined frequency]</w:t>
      </w:r>
      <w:r w:rsidRPr="00B44150">
        <w:rPr>
          <w:rFonts w:ascii="Arial" w:hAnsi="Arial" w:cs="Arial"/>
          <w:sz w:val="24"/>
          <w:szCs w:val="24"/>
        </w:rPr>
        <w:t xml:space="preserve"> thereafter.</w:t>
      </w:r>
    </w:p>
    <w:p w14:paraId="12A01CCD" w14:textId="2F51A832" w:rsidR="00B44150" w:rsidRDefault="00B44150" w:rsidP="00B44150">
      <w:pPr>
        <w:numPr>
          <w:ilvl w:val="0"/>
          <w:numId w:val="32"/>
        </w:numPr>
        <w:spacing w:after="120" w:line="240" w:lineRule="auto"/>
        <w:ind w:left="806" w:right="446"/>
        <w:jc w:val="both"/>
        <w:rPr>
          <w:rFonts w:ascii="Arial" w:hAnsi="Arial" w:cs="Arial"/>
          <w:sz w:val="24"/>
          <w:szCs w:val="24"/>
        </w:rPr>
      </w:pPr>
      <w:r w:rsidRPr="00B44150">
        <w:rPr>
          <w:rFonts w:ascii="Arial" w:hAnsi="Arial" w:cs="Arial"/>
          <w:sz w:val="24"/>
          <w:szCs w:val="24"/>
        </w:rPr>
        <w:t>Incorporate simulated events into incident response training to facilitate effective response by personnel in crisis situations.</w:t>
      </w:r>
    </w:p>
    <w:p w14:paraId="4B5171A3" w14:textId="71ECDE57" w:rsidR="00B44150" w:rsidRPr="00B44150" w:rsidRDefault="00B44150" w:rsidP="00B44150">
      <w:pPr>
        <w:numPr>
          <w:ilvl w:val="0"/>
          <w:numId w:val="32"/>
        </w:numPr>
        <w:spacing w:after="120" w:line="240" w:lineRule="auto"/>
        <w:ind w:left="806" w:right="446"/>
        <w:jc w:val="both"/>
        <w:rPr>
          <w:rFonts w:ascii="Arial" w:hAnsi="Arial" w:cs="Arial"/>
          <w:sz w:val="24"/>
          <w:szCs w:val="24"/>
        </w:rPr>
      </w:pPr>
      <w:r w:rsidRPr="00B44150">
        <w:rPr>
          <w:rFonts w:ascii="Arial" w:hAnsi="Arial" w:cs="Arial"/>
          <w:sz w:val="24"/>
          <w:szCs w:val="24"/>
        </w:rPr>
        <w:t>Employ automated mechanisms to provide a more thorough and realistic incident response training environment.</w:t>
      </w:r>
    </w:p>
    <w:p w14:paraId="28449F89" w14:textId="3CF4FCE5" w:rsidR="00B44150" w:rsidRPr="00B44150" w:rsidRDefault="00B44150" w:rsidP="00B44150">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Incident Response Testing</w:t>
      </w:r>
    </w:p>
    <w:p w14:paraId="6909E0E6" w14:textId="57F53FD2"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F93D16" w:rsidRPr="00F93D16">
        <w:rPr>
          <w:rFonts w:ascii="Arial" w:hAnsi="Arial" w:cs="Arial"/>
          <w:color w:val="FF0000"/>
          <w:sz w:val="24"/>
          <w:szCs w:val="24"/>
        </w:rPr>
        <w:t>[entity]</w:t>
      </w:r>
      <w:r>
        <w:rPr>
          <w:rFonts w:ascii="Arial" w:hAnsi="Arial" w:cs="Arial"/>
          <w:sz w:val="24"/>
          <w:szCs w:val="24"/>
        </w:rPr>
        <w:t xml:space="preserve"> </w:t>
      </w:r>
      <w:r w:rsidRPr="00E819AA">
        <w:rPr>
          <w:rFonts w:ascii="Arial" w:hAnsi="Arial" w:cs="Arial"/>
          <w:sz w:val="24"/>
          <w:szCs w:val="24"/>
        </w:rPr>
        <w:t>shall:</w:t>
      </w:r>
    </w:p>
    <w:p w14:paraId="0F5DC7A1" w14:textId="49D91C6B" w:rsidR="0075131B" w:rsidRPr="0010168A" w:rsidRDefault="00B44150" w:rsidP="00B44150">
      <w:pPr>
        <w:numPr>
          <w:ilvl w:val="0"/>
          <w:numId w:val="43"/>
        </w:numPr>
        <w:spacing w:after="120" w:line="240" w:lineRule="auto"/>
        <w:ind w:right="446"/>
        <w:jc w:val="both"/>
        <w:rPr>
          <w:rFonts w:ascii="Arial" w:hAnsi="Arial" w:cs="Arial"/>
          <w:sz w:val="24"/>
          <w:szCs w:val="24"/>
        </w:rPr>
      </w:pPr>
      <w:r w:rsidRPr="00B44150">
        <w:rPr>
          <w:rFonts w:ascii="Arial" w:hAnsi="Arial" w:cs="Arial"/>
          <w:sz w:val="24"/>
          <w:szCs w:val="24"/>
        </w:rPr>
        <w:t xml:space="preserve">Test the incident response capability for the information system [entity defined frequency] using [Assignment: entity defined tests] to determine the incident response effectiveness and </w:t>
      </w:r>
      <w:proofErr w:type="gramStart"/>
      <w:r w:rsidRPr="00B44150">
        <w:rPr>
          <w:rFonts w:ascii="Arial" w:hAnsi="Arial" w:cs="Arial"/>
          <w:sz w:val="24"/>
          <w:szCs w:val="24"/>
        </w:rPr>
        <w:t>documents</w:t>
      </w:r>
      <w:proofErr w:type="gramEnd"/>
      <w:r w:rsidRPr="00B44150">
        <w:rPr>
          <w:rFonts w:ascii="Arial" w:hAnsi="Arial" w:cs="Arial"/>
          <w:sz w:val="24"/>
          <w:szCs w:val="24"/>
        </w:rPr>
        <w:t xml:space="preserve"> the results.</w:t>
      </w:r>
    </w:p>
    <w:p w14:paraId="1BC02DE1" w14:textId="57CC7E91" w:rsidR="0075131B" w:rsidRPr="0010168A" w:rsidRDefault="00B44150" w:rsidP="00B44150">
      <w:pPr>
        <w:numPr>
          <w:ilvl w:val="0"/>
          <w:numId w:val="43"/>
        </w:numPr>
        <w:spacing w:line="240" w:lineRule="auto"/>
        <w:ind w:right="446"/>
        <w:jc w:val="both"/>
        <w:rPr>
          <w:rFonts w:ascii="Arial" w:hAnsi="Arial" w:cs="Arial"/>
          <w:sz w:val="24"/>
          <w:szCs w:val="24"/>
        </w:rPr>
      </w:pPr>
      <w:r w:rsidRPr="00B44150">
        <w:rPr>
          <w:rFonts w:ascii="Arial" w:hAnsi="Arial" w:cs="Arial"/>
          <w:sz w:val="24"/>
          <w:szCs w:val="24"/>
        </w:rPr>
        <w:t>Coordinate incident response testing with entity contacts responsible for related plans such as Business Continuity Plans, Contingency Plans, Disaster Recovery Plans, Continuity of Operations Plans, Crisis Communications Plans, Critical Infrastructure Plans, and Occupant Emergency Plans.</w:t>
      </w:r>
    </w:p>
    <w:p w14:paraId="36ACC1AB" w14:textId="23F24ED1" w:rsidR="00AB6B64" w:rsidRDefault="00B44150"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Incident Handling</w:t>
      </w:r>
    </w:p>
    <w:p w14:paraId="6DF220F0" w14:textId="2E4C45F4"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F93D16" w:rsidRPr="00F93D16">
        <w:rPr>
          <w:rFonts w:ascii="Arial" w:hAnsi="Arial" w:cs="Arial"/>
          <w:color w:val="FF0000"/>
          <w:sz w:val="24"/>
          <w:szCs w:val="24"/>
        </w:rPr>
        <w:t>[entity]</w:t>
      </w:r>
      <w:r>
        <w:rPr>
          <w:rFonts w:ascii="Arial" w:hAnsi="Arial" w:cs="Arial"/>
          <w:sz w:val="24"/>
          <w:szCs w:val="24"/>
        </w:rPr>
        <w:t xml:space="preserve"> </w:t>
      </w:r>
      <w:r w:rsidRPr="00E819AA">
        <w:rPr>
          <w:rFonts w:ascii="Arial" w:hAnsi="Arial" w:cs="Arial"/>
          <w:sz w:val="24"/>
          <w:szCs w:val="24"/>
        </w:rPr>
        <w:t>shall:</w:t>
      </w:r>
    </w:p>
    <w:p w14:paraId="1C8E880D" w14:textId="726B9C9B" w:rsidR="0075131B" w:rsidRPr="0010168A" w:rsidRDefault="00B44150" w:rsidP="00587924">
      <w:pPr>
        <w:numPr>
          <w:ilvl w:val="0"/>
          <w:numId w:val="34"/>
        </w:numPr>
        <w:spacing w:after="120" w:line="240" w:lineRule="auto"/>
        <w:ind w:left="806" w:right="446"/>
        <w:jc w:val="both"/>
        <w:rPr>
          <w:rFonts w:ascii="Arial" w:hAnsi="Arial" w:cs="Arial"/>
          <w:sz w:val="24"/>
          <w:szCs w:val="24"/>
        </w:rPr>
      </w:pPr>
      <w:r w:rsidRPr="00B44150">
        <w:rPr>
          <w:rFonts w:ascii="Arial" w:hAnsi="Arial" w:cs="Arial"/>
          <w:sz w:val="24"/>
          <w:szCs w:val="24"/>
        </w:rPr>
        <w:t xml:space="preserve">Implement an incident handling capability for security incidents that </w:t>
      </w:r>
      <w:proofErr w:type="gramStart"/>
      <w:r w:rsidRPr="00B44150">
        <w:rPr>
          <w:rFonts w:ascii="Arial" w:hAnsi="Arial" w:cs="Arial"/>
          <w:sz w:val="24"/>
          <w:szCs w:val="24"/>
        </w:rPr>
        <w:t>includes</w:t>
      </w:r>
      <w:proofErr w:type="gramEnd"/>
      <w:r w:rsidRPr="00B44150">
        <w:rPr>
          <w:rFonts w:ascii="Arial" w:hAnsi="Arial" w:cs="Arial"/>
          <w:sz w:val="24"/>
          <w:szCs w:val="24"/>
        </w:rPr>
        <w:t xml:space="preserve"> preparation, detection and analysis, containment, eradication, and recovery.</w:t>
      </w:r>
    </w:p>
    <w:p w14:paraId="230626C7" w14:textId="39D1CAD9" w:rsidR="0075131B" w:rsidRPr="0010168A" w:rsidRDefault="00B44150" w:rsidP="00587924">
      <w:pPr>
        <w:numPr>
          <w:ilvl w:val="0"/>
          <w:numId w:val="34"/>
        </w:numPr>
        <w:spacing w:after="120" w:line="240" w:lineRule="auto"/>
        <w:ind w:left="806" w:right="446"/>
        <w:jc w:val="both"/>
        <w:rPr>
          <w:rFonts w:ascii="Arial" w:hAnsi="Arial" w:cs="Arial"/>
          <w:sz w:val="24"/>
          <w:szCs w:val="24"/>
        </w:rPr>
      </w:pPr>
      <w:r w:rsidRPr="00B44150">
        <w:rPr>
          <w:rFonts w:ascii="Arial" w:hAnsi="Arial" w:cs="Arial"/>
          <w:sz w:val="24"/>
          <w:szCs w:val="24"/>
        </w:rPr>
        <w:t>Coordinate incident handling activities with contingency planning activities.</w:t>
      </w:r>
    </w:p>
    <w:p w14:paraId="3E0A61C8" w14:textId="46DD9A57" w:rsidR="0075131B" w:rsidRPr="0010168A" w:rsidRDefault="00B44150" w:rsidP="00587924">
      <w:pPr>
        <w:numPr>
          <w:ilvl w:val="0"/>
          <w:numId w:val="34"/>
        </w:numPr>
        <w:spacing w:line="240" w:lineRule="auto"/>
        <w:ind w:left="810" w:right="446"/>
        <w:jc w:val="both"/>
        <w:rPr>
          <w:rFonts w:ascii="Arial" w:hAnsi="Arial" w:cs="Arial"/>
          <w:sz w:val="24"/>
          <w:szCs w:val="24"/>
        </w:rPr>
      </w:pPr>
      <w:r w:rsidRPr="00B44150">
        <w:rPr>
          <w:rFonts w:ascii="Arial" w:hAnsi="Arial" w:cs="Arial"/>
          <w:sz w:val="24"/>
          <w:szCs w:val="24"/>
        </w:rPr>
        <w:t xml:space="preserve">Incorporate lessons learned from ongoing incident handling activities into incident response procedures, training, and testing/exercises, and </w:t>
      </w:r>
      <w:proofErr w:type="gramStart"/>
      <w:r w:rsidRPr="00B44150">
        <w:rPr>
          <w:rFonts w:ascii="Arial" w:hAnsi="Arial" w:cs="Arial"/>
          <w:sz w:val="24"/>
          <w:szCs w:val="24"/>
        </w:rPr>
        <w:t>implements</w:t>
      </w:r>
      <w:proofErr w:type="gramEnd"/>
      <w:r w:rsidRPr="00B44150">
        <w:rPr>
          <w:rFonts w:ascii="Arial" w:hAnsi="Arial" w:cs="Arial"/>
          <w:sz w:val="24"/>
          <w:szCs w:val="24"/>
        </w:rPr>
        <w:t xml:space="preserve"> the resulting changes accordingly.</w:t>
      </w:r>
    </w:p>
    <w:p w14:paraId="0121052A" w14:textId="1E8862DD" w:rsidR="00B44150" w:rsidRPr="00B44150" w:rsidRDefault="00B44150" w:rsidP="00B44150">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Incident Monitoring</w:t>
      </w:r>
    </w:p>
    <w:p w14:paraId="3835AC0A" w14:textId="75FDEB37"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F93D16" w:rsidRPr="00F93D16">
        <w:rPr>
          <w:rFonts w:ascii="Arial" w:hAnsi="Arial" w:cs="Arial"/>
          <w:color w:val="FF0000"/>
          <w:sz w:val="24"/>
          <w:szCs w:val="24"/>
        </w:rPr>
        <w:t>[entity]</w:t>
      </w:r>
      <w:r>
        <w:rPr>
          <w:rFonts w:ascii="Arial" w:hAnsi="Arial" w:cs="Arial"/>
          <w:sz w:val="24"/>
          <w:szCs w:val="24"/>
        </w:rPr>
        <w:t xml:space="preserve"> </w:t>
      </w:r>
      <w:r w:rsidRPr="00E819AA">
        <w:rPr>
          <w:rFonts w:ascii="Arial" w:hAnsi="Arial" w:cs="Arial"/>
          <w:sz w:val="24"/>
          <w:szCs w:val="24"/>
        </w:rPr>
        <w:t>shall:</w:t>
      </w:r>
    </w:p>
    <w:p w14:paraId="4DF05C5D" w14:textId="59B8EB3F" w:rsidR="0075131B" w:rsidRPr="0010168A" w:rsidRDefault="006D6213" w:rsidP="00587924">
      <w:pPr>
        <w:numPr>
          <w:ilvl w:val="0"/>
          <w:numId w:val="35"/>
        </w:numPr>
        <w:spacing w:after="120" w:line="240" w:lineRule="auto"/>
        <w:ind w:left="806" w:right="446"/>
        <w:jc w:val="both"/>
        <w:rPr>
          <w:rFonts w:ascii="Arial" w:hAnsi="Arial" w:cs="Arial"/>
          <w:sz w:val="24"/>
          <w:szCs w:val="24"/>
        </w:rPr>
      </w:pPr>
      <w:r w:rsidRPr="006D6213">
        <w:rPr>
          <w:rFonts w:ascii="Arial" w:hAnsi="Arial" w:cs="Arial"/>
          <w:sz w:val="24"/>
          <w:szCs w:val="24"/>
        </w:rPr>
        <w:t>Employ automated mechanisms to assist in the tracking of security incidents and in the collection and analysis of incident information.</w:t>
      </w:r>
      <w:r w:rsidR="0075131B" w:rsidRPr="0010168A">
        <w:rPr>
          <w:rFonts w:ascii="Arial" w:hAnsi="Arial" w:cs="Arial"/>
          <w:sz w:val="24"/>
          <w:szCs w:val="24"/>
        </w:rPr>
        <w:t xml:space="preserve"> </w:t>
      </w:r>
    </w:p>
    <w:p w14:paraId="28FF6D56" w14:textId="0195586C" w:rsidR="00B44150" w:rsidRPr="00B44150" w:rsidRDefault="00B44150" w:rsidP="00B44150">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Incident Reporting</w:t>
      </w:r>
    </w:p>
    <w:p w14:paraId="4420B7CA" w14:textId="0646C392"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F93D16" w:rsidRPr="00F93D16">
        <w:rPr>
          <w:rFonts w:ascii="Arial" w:hAnsi="Arial" w:cs="Arial"/>
          <w:color w:val="FF0000"/>
          <w:sz w:val="24"/>
          <w:szCs w:val="24"/>
        </w:rPr>
        <w:t>[entity]</w:t>
      </w:r>
      <w:r>
        <w:rPr>
          <w:rFonts w:ascii="Arial" w:hAnsi="Arial" w:cs="Arial"/>
          <w:sz w:val="24"/>
          <w:szCs w:val="24"/>
        </w:rPr>
        <w:t xml:space="preserve"> </w:t>
      </w:r>
      <w:r w:rsidRPr="00E819AA">
        <w:rPr>
          <w:rFonts w:ascii="Arial" w:hAnsi="Arial" w:cs="Arial"/>
          <w:sz w:val="24"/>
          <w:szCs w:val="24"/>
        </w:rPr>
        <w:t>shall:</w:t>
      </w:r>
    </w:p>
    <w:p w14:paraId="16AB90C6" w14:textId="1E604071" w:rsidR="0075131B" w:rsidRPr="0010168A" w:rsidRDefault="006D6213" w:rsidP="00587924">
      <w:pPr>
        <w:numPr>
          <w:ilvl w:val="0"/>
          <w:numId w:val="36"/>
        </w:numPr>
        <w:spacing w:after="120" w:line="240" w:lineRule="auto"/>
        <w:ind w:left="806" w:right="446"/>
        <w:jc w:val="both"/>
        <w:rPr>
          <w:rFonts w:ascii="Arial" w:hAnsi="Arial" w:cs="Arial"/>
          <w:sz w:val="24"/>
          <w:szCs w:val="24"/>
        </w:rPr>
      </w:pPr>
      <w:r w:rsidRPr="006D6213">
        <w:rPr>
          <w:rFonts w:ascii="Arial" w:hAnsi="Arial" w:cs="Arial"/>
          <w:sz w:val="24"/>
          <w:szCs w:val="24"/>
        </w:rPr>
        <w:t xml:space="preserve">Require personnel to report suspected security incidents to the incident response capability within </w:t>
      </w:r>
      <w:r w:rsidRPr="00AE6E2C">
        <w:rPr>
          <w:rFonts w:ascii="Arial" w:hAnsi="Arial" w:cs="Arial"/>
          <w:color w:val="FF0000"/>
          <w:sz w:val="24"/>
          <w:szCs w:val="24"/>
        </w:rPr>
        <w:t xml:space="preserve">[entity defined </w:t>
      </w:r>
      <w:proofErr w:type="gramStart"/>
      <w:r w:rsidRPr="00AE6E2C">
        <w:rPr>
          <w:rFonts w:ascii="Arial" w:hAnsi="Arial" w:cs="Arial"/>
          <w:color w:val="FF0000"/>
          <w:sz w:val="24"/>
          <w:szCs w:val="24"/>
        </w:rPr>
        <w:t>time period</w:t>
      </w:r>
      <w:proofErr w:type="gramEnd"/>
      <w:r w:rsidRPr="00AE6E2C">
        <w:rPr>
          <w:rFonts w:ascii="Arial" w:hAnsi="Arial" w:cs="Arial"/>
          <w:color w:val="FF0000"/>
          <w:sz w:val="24"/>
          <w:szCs w:val="24"/>
        </w:rPr>
        <w:t>]</w:t>
      </w:r>
      <w:r w:rsidRPr="006D6213">
        <w:rPr>
          <w:rFonts w:ascii="Arial" w:hAnsi="Arial" w:cs="Arial"/>
          <w:sz w:val="24"/>
          <w:szCs w:val="24"/>
        </w:rPr>
        <w:t>.</w:t>
      </w:r>
    </w:p>
    <w:p w14:paraId="4EDDA9DC" w14:textId="5CD90339" w:rsidR="0075131B" w:rsidRPr="0010168A" w:rsidRDefault="006D6213" w:rsidP="00587924">
      <w:pPr>
        <w:numPr>
          <w:ilvl w:val="0"/>
          <w:numId w:val="36"/>
        </w:numPr>
        <w:spacing w:after="120" w:line="240" w:lineRule="auto"/>
        <w:ind w:left="806" w:right="446"/>
        <w:jc w:val="both"/>
        <w:rPr>
          <w:rFonts w:ascii="Arial" w:hAnsi="Arial" w:cs="Arial"/>
          <w:sz w:val="24"/>
          <w:szCs w:val="24"/>
        </w:rPr>
      </w:pPr>
      <w:r w:rsidRPr="006D6213">
        <w:rPr>
          <w:rFonts w:ascii="Arial" w:hAnsi="Arial" w:cs="Arial"/>
          <w:sz w:val="24"/>
          <w:szCs w:val="24"/>
        </w:rPr>
        <w:t xml:space="preserve">Report security incident information to </w:t>
      </w:r>
      <w:r w:rsidRPr="00AE6E2C">
        <w:rPr>
          <w:rFonts w:ascii="Arial" w:hAnsi="Arial" w:cs="Arial"/>
          <w:color w:val="FF0000"/>
          <w:sz w:val="24"/>
          <w:szCs w:val="24"/>
        </w:rPr>
        <w:t>[entity defined authorities]</w:t>
      </w:r>
      <w:r w:rsidRPr="006D6213">
        <w:rPr>
          <w:rFonts w:ascii="Arial" w:hAnsi="Arial" w:cs="Arial"/>
          <w:sz w:val="24"/>
          <w:szCs w:val="24"/>
        </w:rPr>
        <w:t>.</w:t>
      </w:r>
    </w:p>
    <w:p w14:paraId="73E4B81E" w14:textId="0F38EFDE" w:rsidR="00B44150" w:rsidRPr="00B44150" w:rsidRDefault="00B44150" w:rsidP="00B44150">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Incident Response Assistance</w:t>
      </w:r>
    </w:p>
    <w:p w14:paraId="61B54B94" w14:textId="5705C704"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F93D16" w:rsidRPr="00F93D16">
        <w:rPr>
          <w:rFonts w:ascii="Arial" w:hAnsi="Arial" w:cs="Arial"/>
          <w:color w:val="FF0000"/>
          <w:sz w:val="24"/>
          <w:szCs w:val="24"/>
        </w:rPr>
        <w:t>[entity]</w:t>
      </w:r>
      <w:r>
        <w:rPr>
          <w:rFonts w:ascii="Arial" w:hAnsi="Arial" w:cs="Arial"/>
          <w:sz w:val="24"/>
          <w:szCs w:val="24"/>
        </w:rPr>
        <w:t xml:space="preserve"> </w:t>
      </w:r>
      <w:r w:rsidRPr="00E819AA">
        <w:rPr>
          <w:rFonts w:ascii="Arial" w:hAnsi="Arial" w:cs="Arial"/>
          <w:sz w:val="24"/>
          <w:szCs w:val="24"/>
        </w:rPr>
        <w:t>shall:</w:t>
      </w:r>
    </w:p>
    <w:p w14:paraId="07C2F859" w14:textId="59D377AE" w:rsidR="00B44150" w:rsidRPr="0010168A" w:rsidRDefault="006D6213" w:rsidP="00B44150">
      <w:pPr>
        <w:numPr>
          <w:ilvl w:val="0"/>
          <w:numId w:val="40"/>
        </w:numPr>
        <w:spacing w:after="120" w:line="240" w:lineRule="auto"/>
        <w:ind w:right="446"/>
        <w:jc w:val="both"/>
        <w:rPr>
          <w:rFonts w:ascii="Arial" w:hAnsi="Arial" w:cs="Arial"/>
          <w:sz w:val="24"/>
          <w:szCs w:val="24"/>
        </w:rPr>
      </w:pPr>
      <w:r w:rsidRPr="006D6213">
        <w:rPr>
          <w:rFonts w:ascii="Arial" w:hAnsi="Arial" w:cs="Arial"/>
          <w:sz w:val="24"/>
          <w:szCs w:val="24"/>
        </w:rPr>
        <w:lastRenderedPageBreak/>
        <w:t>Provide an incident response support resource, integral to the incident response capability that offers advice and assistance to users of the information system for the handling and reporting of security incidents.</w:t>
      </w:r>
    </w:p>
    <w:p w14:paraId="090818C2" w14:textId="7D98179D" w:rsidR="00B44150" w:rsidRPr="00B44150" w:rsidRDefault="00B44150" w:rsidP="00B44150">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Incident Response Plan</w:t>
      </w:r>
    </w:p>
    <w:p w14:paraId="22AC2E41" w14:textId="7D53427E"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sidR="00F93D16" w:rsidRPr="00F93D16">
        <w:rPr>
          <w:rFonts w:ascii="Arial" w:hAnsi="Arial" w:cs="Arial"/>
          <w:color w:val="FF0000"/>
          <w:sz w:val="24"/>
          <w:szCs w:val="24"/>
        </w:rPr>
        <w:t>[entity]</w:t>
      </w:r>
      <w:r>
        <w:rPr>
          <w:rFonts w:ascii="Arial" w:hAnsi="Arial" w:cs="Arial"/>
          <w:sz w:val="24"/>
          <w:szCs w:val="24"/>
        </w:rPr>
        <w:t xml:space="preserve"> </w:t>
      </w:r>
      <w:r w:rsidRPr="00E819AA">
        <w:rPr>
          <w:rFonts w:ascii="Arial" w:hAnsi="Arial" w:cs="Arial"/>
          <w:sz w:val="24"/>
          <w:szCs w:val="24"/>
        </w:rPr>
        <w:t>shall:</w:t>
      </w:r>
    </w:p>
    <w:p w14:paraId="3A86B6A5" w14:textId="75002DE5" w:rsidR="006D6213" w:rsidRPr="006D6213" w:rsidRDefault="006D6213" w:rsidP="006D6213">
      <w:pPr>
        <w:numPr>
          <w:ilvl w:val="0"/>
          <w:numId w:val="41"/>
        </w:numPr>
        <w:spacing w:after="120" w:line="240" w:lineRule="auto"/>
        <w:ind w:right="446"/>
        <w:jc w:val="both"/>
        <w:rPr>
          <w:rFonts w:ascii="Arial" w:hAnsi="Arial" w:cs="Arial"/>
          <w:sz w:val="24"/>
          <w:szCs w:val="24"/>
        </w:rPr>
      </w:pPr>
      <w:r w:rsidRPr="006D6213">
        <w:rPr>
          <w:rFonts w:ascii="Arial" w:hAnsi="Arial" w:cs="Arial"/>
          <w:sz w:val="24"/>
          <w:szCs w:val="24"/>
        </w:rPr>
        <w:t>Develop an incident response plan that:</w:t>
      </w:r>
    </w:p>
    <w:p w14:paraId="4C4A4D16" w14:textId="23CA32C9"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Provides the entity with a roadmap for implementing its incident response capability.</w:t>
      </w:r>
    </w:p>
    <w:p w14:paraId="597C1085" w14:textId="3C9E6C4A"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Describes the structure of the incident response capability.</w:t>
      </w:r>
    </w:p>
    <w:p w14:paraId="72E7E5CA" w14:textId="2184203A"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Provides a high-level approach for how the incident response capability fits into the overall entity.</w:t>
      </w:r>
    </w:p>
    <w:p w14:paraId="38EE3CDC" w14:textId="05D1C39A"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Meets the unique requirements of the entity, which relate to mission, size, structure, and functions.</w:t>
      </w:r>
    </w:p>
    <w:p w14:paraId="57E5B3BF" w14:textId="35BA1B29"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Defines reportable incidents.</w:t>
      </w:r>
    </w:p>
    <w:p w14:paraId="6E4AE6B5" w14:textId="227C7DF8"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Provides metrics for measuring the incident response capability within the entity.</w:t>
      </w:r>
    </w:p>
    <w:p w14:paraId="39351D75" w14:textId="37E2EBDF"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Defines the resources and management support needed to effectively maintain and mature an incident response capability.</w:t>
      </w:r>
    </w:p>
    <w:p w14:paraId="048F250E" w14:textId="56AA97DD" w:rsidR="006D6213" w:rsidRPr="006D6213" w:rsidRDefault="006D6213" w:rsidP="006D6213">
      <w:pPr>
        <w:numPr>
          <w:ilvl w:val="0"/>
          <w:numId w:val="44"/>
        </w:numPr>
        <w:spacing w:after="120" w:line="240" w:lineRule="auto"/>
        <w:ind w:right="446"/>
        <w:jc w:val="both"/>
        <w:rPr>
          <w:rFonts w:ascii="Arial" w:hAnsi="Arial" w:cs="Arial"/>
          <w:sz w:val="24"/>
          <w:szCs w:val="24"/>
        </w:rPr>
      </w:pPr>
      <w:proofErr w:type="gramStart"/>
      <w:r w:rsidRPr="006D6213">
        <w:rPr>
          <w:rFonts w:ascii="Arial" w:hAnsi="Arial" w:cs="Arial"/>
          <w:sz w:val="24"/>
          <w:szCs w:val="24"/>
        </w:rPr>
        <w:t>Is</w:t>
      </w:r>
      <w:proofErr w:type="gramEnd"/>
      <w:r w:rsidRPr="006D6213">
        <w:rPr>
          <w:rFonts w:ascii="Arial" w:hAnsi="Arial" w:cs="Arial"/>
          <w:sz w:val="24"/>
          <w:szCs w:val="24"/>
        </w:rPr>
        <w:t xml:space="preserve"> reviewed and approved by [entity defined personnel or roles].</w:t>
      </w:r>
    </w:p>
    <w:p w14:paraId="2477917E" w14:textId="6A828B04" w:rsidR="00B44150" w:rsidRPr="0010168A" w:rsidRDefault="006D6213" w:rsidP="00B44150">
      <w:pPr>
        <w:numPr>
          <w:ilvl w:val="0"/>
          <w:numId w:val="41"/>
        </w:numPr>
        <w:spacing w:after="120" w:line="240" w:lineRule="auto"/>
        <w:ind w:right="446"/>
        <w:jc w:val="both"/>
        <w:rPr>
          <w:rFonts w:ascii="Arial" w:hAnsi="Arial" w:cs="Arial"/>
          <w:sz w:val="24"/>
          <w:szCs w:val="24"/>
        </w:rPr>
      </w:pPr>
      <w:r w:rsidRPr="006D6213">
        <w:rPr>
          <w:rFonts w:ascii="Arial" w:hAnsi="Arial" w:cs="Arial"/>
          <w:sz w:val="24"/>
          <w:szCs w:val="24"/>
        </w:rPr>
        <w:t xml:space="preserve">Distribute copies of the incident response plan to </w:t>
      </w:r>
      <w:r w:rsidRPr="00AE6E2C">
        <w:rPr>
          <w:rFonts w:ascii="Arial" w:hAnsi="Arial" w:cs="Arial"/>
          <w:color w:val="FF0000"/>
          <w:sz w:val="24"/>
          <w:szCs w:val="24"/>
        </w:rPr>
        <w:t>[entity defined incident response personnel (identified by name and/or by role)]</w:t>
      </w:r>
      <w:r w:rsidRPr="006D6213">
        <w:rPr>
          <w:rFonts w:ascii="Arial" w:hAnsi="Arial" w:cs="Arial"/>
          <w:sz w:val="24"/>
          <w:szCs w:val="24"/>
        </w:rPr>
        <w:t>.</w:t>
      </w:r>
    </w:p>
    <w:p w14:paraId="1A154639" w14:textId="1D6551DD" w:rsidR="00B44150" w:rsidRDefault="006D6213" w:rsidP="00B44150">
      <w:pPr>
        <w:numPr>
          <w:ilvl w:val="0"/>
          <w:numId w:val="41"/>
        </w:numPr>
        <w:spacing w:line="240" w:lineRule="auto"/>
        <w:ind w:right="446"/>
        <w:jc w:val="both"/>
        <w:rPr>
          <w:rFonts w:ascii="Arial" w:hAnsi="Arial" w:cs="Arial"/>
          <w:sz w:val="24"/>
          <w:szCs w:val="24"/>
        </w:rPr>
      </w:pPr>
      <w:r w:rsidRPr="006D6213">
        <w:rPr>
          <w:rFonts w:ascii="Arial" w:hAnsi="Arial" w:cs="Arial"/>
          <w:sz w:val="24"/>
          <w:szCs w:val="24"/>
        </w:rPr>
        <w:t xml:space="preserve">Review the incident response plan </w:t>
      </w:r>
      <w:r w:rsidRPr="00AE6E2C">
        <w:rPr>
          <w:rFonts w:ascii="Arial" w:hAnsi="Arial" w:cs="Arial"/>
          <w:color w:val="FF0000"/>
          <w:sz w:val="24"/>
          <w:szCs w:val="24"/>
        </w:rPr>
        <w:t>[entity defined frequency]</w:t>
      </w:r>
      <w:r w:rsidRPr="006D6213">
        <w:rPr>
          <w:rFonts w:ascii="Arial" w:hAnsi="Arial" w:cs="Arial"/>
          <w:sz w:val="24"/>
          <w:szCs w:val="24"/>
        </w:rPr>
        <w:t>.</w:t>
      </w:r>
    </w:p>
    <w:p w14:paraId="05144CE8" w14:textId="14EFE024" w:rsidR="006D6213" w:rsidRDefault="006D6213" w:rsidP="00B44150">
      <w:pPr>
        <w:numPr>
          <w:ilvl w:val="0"/>
          <w:numId w:val="41"/>
        </w:numPr>
        <w:spacing w:line="240" w:lineRule="auto"/>
        <w:ind w:right="446"/>
        <w:jc w:val="both"/>
        <w:rPr>
          <w:rFonts w:ascii="Arial" w:hAnsi="Arial" w:cs="Arial"/>
          <w:sz w:val="24"/>
          <w:szCs w:val="24"/>
        </w:rPr>
      </w:pPr>
      <w:r w:rsidRPr="006D6213">
        <w:rPr>
          <w:rFonts w:ascii="Arial" w:hAnsi="Arial" w:cs="Arial"/>
          <w:sz w:val="24"/>
          <w:szCs w:val="24"/>
        </w:rPr>
        <w:t>Update the incident response plan to address system changes or problems encountered during plan implementation, execution, or testing.</w:t>
      </w:r>
    </w:p>
    <w:p w14:paraId="28018F10" w14:textId="1E9822F4" w:rsidR="006D6213" w:rsidRDefault="006D6213" w:rsidP="00B44150">
      <w:pPr>
        <w:numPr>
          <w:ilvl w:val="0"/>
          <w:numId w:val="41"/>
        </w:numPr>
        <w:spacing w:line="240" w:lineRule="auto"/>
        <w:ind w:right="446"/>
        <w:jc w:val="both"/>
        <w:rPr>
          <w:rFonts w:ascii="Arial" w:hAnsi="Arial" w:cs="Arial"/>
          <w:sz w:val="24"/>
          <w:szCs w:val="24"/>
        </w:rPr>
      </w:pPr>
      <w:r w:rsidRPr="006D6213">
        <w:rPr>
          <w:rFonts w:ascii="Arial" w:hAnsi="Arial" w:cs="Arial"/>
          <w:sz w:val="24"/>
          <w:szCs w:val="24"/>
        </w:rPr>
        <w:t xml:space="preserve">Communicate incident response plan changes to </w:t>
      </w:r>
      <w:r w:rsidRPr="00AE6E2C">
        <w:rPr>
          <w:rFonts w:ascii="Arial" w:hAnsi="Arial" w:cs="Arial"/>
          <w:color w:val="FF0000"/>
          <w:sz w:val="24"/>
          <w:szCs w:val="24"/>
        </w:rPr>
        <w:t>[entity defined incident response personnel (identified by name and/or by role)]</w:t>
      </w:r>
      <w:r w:rsidRPr="006D6213">
        <w:rPr>
          <w:rFonts w:ascii="Arial" w:hAnsi="Arial" w:cs="Arial"/>
          <w:sz w:val="24"/>
          <w:szCs w:val="24"/>
        </w:rPr>
        <w:t>.</w:t>
      </w:r>
    </w:p>
    <w:p w14:paraId="422B475D" w14:textId="560348D3" w:rsidR="00B44150" w:rsidRPr="006D6213" w:rsidRDefault="006D6213" w:rsidP="00B44150">
      <w:pPr>
        <w:numPr>
          <w:ilvl w:val="0"/>
          <w:numId w:val="41"/>
        </w:numPr>
        <w:spacing w:line="240" w:lineRule="auto"/>
        <w:ind w:right="446"/>
        <w:jc w:val="both"/>
        <w:rPr>
          <w:rFonts w:ascii="Arial" w:hAnsi="Arial" w:cs="Arial"/>
          <w:sz w:val="24"/>
          <w:szCs w:val="24"/>
        </w:rPr>
      </w:pPr>
      <w:r w:rsidRPr="006D6213">
        <w:rPr>
          <w:rFonts w:ascii="Arial" w:hAnsi="Arial" w:cs="Arial"/>
          <w:sz w:val="24"/>
          <w:szCs w:val="24"/>
        </w:rPr>
        <w:t>Protect the incident response plan from unauthorized disclosure and modification.</w:t>
      </w:r>
    </w:p>
    <w:p w14:paraId="2B4FA2B3" w14:textId="77777777" w:rsidR="00F93D16" w:rsidRPr="00B81B99" w:rsidRDefault="00F93D16" w:rsidP="00F93D16">
      <w:pPr>
        <w:pStyle w:val="Heading1"/>
        <w:rPr>
          <w:color w:val="auto"/>
        </w:rPr>
      </w:pPr>
      <w:bookmarkStart w:id="4" w:name="_Hlk179891940"/>
      <w:r w:rsidRPr="00B81B99">
        <w:rPr>
          <w:color w:val="auto"/>
        </w:rPr>
        <w:t>5.0 Compliance</w:t>
      </w:r>
    </w:p>
    <w:p w14:paraId="2921757C" w14:textId="77777777" w:rsidR="00F93D16" w:rsidRPr="004F0D6F" w:rsidRDefault="00F93D16" w:rsidP="00F93D16">
      <w:pPr>
        <w:keepNext/>
        <w:keepLines/>
        <w:spacing w:line="240" w:lineRule="auto"/>
        <w:ind w:right="446"/>
        <w:jc w:val="both"/>
        <w:rPr>
          <w:rFonts w:ascii="Arial" w:hAnsi="Arial" w:cs="Arial"/>
          <w:sz w:val="24"/>
          <w:szCs w:val="24"/>
        </w:rPr>
      </w:pPr>
      <w:bookmarkStart w:id="5"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03A4E254" w14:textId="77777777" w:rsidR="00F93D16" w:rsidRDefault="00F93D16" w:rsidP="00F93D16">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78B608B" w14:textId="77777777" w:rsidR="00F93D16" w:rsidRDefault="00F93D16" w:rsidP="00F93D16">
      <w:pPr>
        <w:pStyle w:val="Heading1"/>
        <w:rPr>
          <w:color w:val="auto"/>
        </w:rPr>
      </w:pPr>
      <w:bookmarkStart w:id="6" w:name="_Hlk179891515"/>
      <w:bookmarkEnd w:id="5"/>
      <w:r>
        <w:rPr>
          <w:color w:val="auto"/>
        </w:rPr>
        <w:lastRenderedPageBreak/>
        <w:t>6</w:t>
      </w:r>
      <w:r w:rsidRPr="006E0CEF">
        <w:rPr>
          <w:color w:val="auto"/>
        </w:rPr>
        <w:t xml:space="preserve">.0 </w:t>
      </w:r>
      <w:r>
        <w:rPr>
          <w:color w:val="auto"/>
        </w:rPr>
        <w:t>Policy Exceptions</w:t>
      </w:r>
    </w:p>
    <w:p w14:paraId="69039EE4" w14:textId="77777777" w:rsidR="00F93D16" w:rsidRPr="00EB3772" w:rsidRDefault="00F93D16" w:rsidP="00F93D16">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4"/>
    <w:bookmarkEnd w:id="6"/>
    <w:p w14:paraId="608E20F3" w14:textId="1ECCDDF6" w:rsidR="00FD26A2" w:rsidRPr="00B81B99" w:rsidRDefault="00F93D16"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44998474" w:rsidR="00426882" w:rsidRPr="00B81B99" w:rsidRDefault="00F93D16" w:rsidP="00B81B99">
      <w:pPr>
        <w:pStyle w:val="Heading1"/>
        <w:rPr>
          <w:color w:val="auto"/>
        </w:rPr>
      </w:pPr>
      <w:r>
        <w:rPr>
          <w:color w:val="auto"/>
        </w:rPr>
        <w:t>8</w:t>
      </w:r>
      <w:r w:rsidR="00FD26A2" w:rsidRPr="00B81B99">
        <w:rPr>
          <w:color w:val="auto"/>
        </w:rPr>
        <w:t>.0 Contact Information</w:t>
      </w:r>
    </w:p>
    <w:p w14:paraId="292EBDF5" w14:textId="77777777" w:rsidR="00F93D16" w:rsidRDefault="00F93D16" w:rsidP="00F93D16">
      <w:pPr>
        <w:spacing w:after="0" w:line="240" w:lineRule="auto"/>
        <w:ind w:right="446"/>
        <w:jc w:val="center"/>
        <w:rPr>
          <w:rFonts w:ascii="Arial" w:hAnsi="Arial" w:cs="Arial"/>
          <w:sz w:val="24"/>
          <w:szCs w:val="24"/>
        </w:rPr>
      </w:pPr>
      <w:bookmarkStart w:id="7" w:name="_Hlk179891534"/>
      <w:r>
        <w:rPr>
          <w:rFonts w:ascii="Arial" w:hAnsi="Arial" w:cs="Arial"/>
          <w:sz w:val="24"/>
          <w:szCs w:val="24"/>
        </w:rPr>
        <w:t>Submit all inquiries and requests for future enhancements to the policy owner at:</w:t>
      </w:r>
    </w:p>
    <w:p w14:paraId="013A386C" w14:textId="77777777" w:rsidR="00F93D16" w:rsidRDefault="00F93D16" w:rsidP="00F93D16">
      <w:pPr>
        <w:spacing w:after="0" w:line="240" w:lineRule="auto"/>
        <w:ind w:right="446"/>
        <w:jc w:val="center"/>
        <w:rPr>
          <w:rFonts w:ascii="Arial" w:hAnsi="Arial" w:cs="Arial"/>
          <w:sz w:val="24"/>
          <w:szCs w:val="24"/>
        </w:rPr>
      </w:pPr>
    </w:p>
    <w:p w14:paraId="31934799" w14:textId="77777777" w:rsidR="00F93D16" w:rsidRPr="00EB3772" w:rsidRDefault="00F93D16" w:rsidP="00F93D16">
      <w:pPr>
        <w:spacing w:line="240" w:lineRule="auto"/>
        <w:ind w:right="446"/>
        <w:jc w:val="center"/>
        <w:rPr>
          <w:rFonts w:ascii="Arial" w:hAnsi="Arial" w:cs="Arial"/>
          <w:color w:val="FF0000"/>
          <w:sz w:val="24"/>
          <w:szCs w:val="24"/>
        </w:rPr>
      </w:pPr>
      <w:bookmarkStart w:id="8"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7"/>
    <w:bookmarkEnd w:id="8"/>
    <w:p w14:paraId="28B58826" w14:textId="4E3F288D" w:rsidR="00FD26A2" w:rsidRPr="00B81B99" w:rsidRDefault="00F93D16"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438C6D54" w:rsidR="00862653" w:rsidRPr="00B81B99" w:rsidRDefault="00F93D16" w:rsidP="00B81B99">
      <w:pPr>
        <w:pStyle w:val="Heading1"/>
      </w:pPr>
      <w:r>
        <w:rPr>
          <w:color w:val="auto"/>
        </w:rPr>
        <w:t>10</w:t>
      </w:r>
      <w:r w:rsidR="00FD26A2" w:rsidRPr="00B81B99">
        <w:rPr>
          <w:color w:val="auto"/>
        </w:rPr>
        <w:t>.0 Related Documents</w:t>
      </w:r>
    </w:p>
    <w:p w14:paraId="72825194" w14:textId="2DE9AA3C" w:rsidR="0073036D" w:rsidRDefault="0073036D" w:rsidP="00932826">
      <w:pPr>
        <w:autoSpaceDE w:val="0"/>
        <w:autoSpaceDN w:val="0"/>
        <w:adjustRightInd w:val="0"/>
        <w:ind w:right="450"/>
        <w:jc w:val="both"/>
        <w:rPr>
          <w:rFonts w:ascii="Arial" w:hAnsi="Arial" w:cs="Arial"/>
          <w:sz w:val="24"/>
          <w:szCs w:val="24"/>
        </w:rPr>
      </w:pPr>
      <w:r w:rsidRPr="00932826">
        <w:rPr>
          <w:rFonts w:ascii="Arial" w:hAnsi="Arial" w:cs="Arial"/>
          <w:sz w:val="24"/>
          <w:szCs w:val="24"/>
        </w:rPr>
        <w:t>NIST Special Publication 800-92, Guide to Computer Security Log Managemen</w:t>
      </w:r>
      <w:bookmarkStart w:id="9" w:name="AppendixA"/>
      <w:bookmarkEnd w:id="9"/>
      <w:r w:rsidR="00932826">
        <w:rPr>
          <w:rFonts w:ascii="Arial" w:hAnsi="Arial" w:cs="Arial"/>
          <w:sz w:val="24"/>
          <w:szCs w:val="24"/>
        </w:rPr>
        <w:t>t</w:t>
      </w:r>
    </w:p>
    <w:p w14:paraId="71217580" w14:textId="49C62A1C" w:rsidR="00932826" w:rsidRPr="001C04B4" w:rsidRDefault="00932826" w:rsidP="00F93D16">
      <w:pPr>
        <w:rPr>
          <w:rFonts w:ascii="Arial" w:hAnsi="Arial" w:cs="Arial"/>
          <w:sz w:val="24"/>
          <w:szCs w:val="24"/>
        </w:rPr>
      </w:pPr>
      <w:r w:rsidRPr="00E146C6">
        <w:rPr>
          <w:rFonts w:ascii="Arial" w:hAnsi="Arial" w:cs="Arial"/>
          <w:sz w:val="24"/>
          <w:szCs w:val="24"/>
          <w:shd w:val="clear" w:color="auto" w:fill="FFFFFF"/>
        </w:rPr>
        <w:t xml:space="preserve">National Institute of Standards and Technology (NIST) Special Publication (SP): </w:t>
      </w:r>
      <w:r w:rsidRPr="00E146C6">
        <w:rPr>
          <w:rFonts w:ascii="Arial" w:hAnsi="Arial" w:cs="Arial"/>
          <w:sz w:val="24"/>
          <w:szCs w:val="24"/>
        </w:rPr>
        <w:t>NIST SP 800-53a – Incident Response (IR), NIST SP 800-16, NIST SP 800-50, NIST SP 800-61, NIST SP 800-84, NIST SP 800-115</w:t>
      </w:r>
    </w:p>
    <w:sectPr w:rsidR="00932826" w:rsidRPr="001C04B4"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A590B" w14:textId="77777777" w:rsidR="000F10F0" w:rsidRDefault="000F10F0" w:rsidP="00D212FD">
      <w:pPr>
        <w:spacing w:after="0" w:line="240" w:lineRule="auto"/>
      </w:pPr>
      <w:r>
        <w:separator/>
      </w:r>
    </w:p>
  </w:endnote>
  <w:endnote w:type="continuationSeparator" w:id="0">
    <w:p w14:paraId="613244C1" w14:textId="77777777" w:rsidR="000F10F0" w:rsidRDefault="000F10F0" w:rsidP="00D212FD">
      <w:pPr>
        <w:spacing w:after="0" w:line="240" w:lineRule="auto"/>
      </w:pPr>
      <w:r>
        <w:continuationSeparator/>
      </w:r>
    </w:p>
  </w:endnote>
  <w:endnote w:type="continuationNotice" w:id="1">
    <w:p w14:paraId="566C8A1F" w14:textId="77777777" w:rsidR="000F10F0" w:rsidRDefault="000F10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24D01" w14:textId="0695BBE6" w:rsidR="00FE391F" w:rsidRPr="009D4DB0" w:rsidRDefault="00FE391F" w:rsidP="00FE391F">
    <w:pPr>
      <w:pStyle w:val="Footer"/>
      <w:rPr>
        <w:rFonts w:ascii="Arial" w:hAnsi="Arial" w:cs="Arial"/>
        <w:b/>
        <w:sz w:val="20"/>
        <w:szCs w:val="16"/>
      </w:rPr>
    </w:pPr>
    <w:r>
      <w:rPr>
        <w:rFonts w:ascii="Arial" w:hAnsi="Arial" w:cs="Arial"/>
        <w:b/>
        <w:sz w:val="20"/>
        <w:szCs w:val="16"/>
      </w:rPr>
      <w:t>Incident Response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AE6E2C">
      <w:rPr>
        <w:rFonts w:ascii="Arial" w:hAnsi="Arial" w:cs="Arial"/>
        <w:b/>
        <w:noProof/>
        <w:sz w:val="20"/>
        <w:szCs w:val="16"/>
      </w:rPr>
      <w:t>4</w:t>
    </w:r>
    <w:r w:rsidRPr="009D4DB0">
      <w:rPr>
        <w:rFonts w:ascii="Arial" w:hAnsi="Arial" w:cs="Arial"/>
        <w:b/>
        <w:sz w:val="20"/>
        <w:szCs w:val="16"/>
      </w:rPr>
      <w:fldChar w:fldCharType="end"/>
    </w:r>
  </w:p>
  <w:p w14:paraId="1BC75154" w14:textId="77777777" w:rsidR="00FE391F" w:rsidRDefault="00FE3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405B259B" w:rsidR="007B5EB1" w:rsidRPr="009D4DB0" w:rsidRDefault="00FE391F" w:rsidP="007B5EB1">
    <w:pPr>
      <w:pStyle w:val="Footer"/>
      <w:rPr>
        <w:rFonts w:ascii="Arial" w:hAnsi="Arial" w:cs="Arial"/>
        <w:b/>
        <w:sz w:val="20"/>
        <w:szCs w:val="16"/>
      </w:rPr>
    </w:pPr>
    <w:r>
      <w:rPr>
        <w:rFonts w:ascii="Arial" w:hAnsi="Arial" w:cs="Arial"/>
        <w:b/>
        <w:sz w:val="20"/>
        <w:szCs w:val="16"/>
      </w:rPr>
      <w:t>Incident Response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F93D16">
      <w:rPr>
        <w:rFonts w:ascii="Arial" w:hAnsi="Arial" w:cs="Arial"/>
        <w:b/>
        <w:noProof/>
        <w:sz w:val="20"/>
        <w:szCs w:val="16"/>
      </w:rPr>
      <w:t>4</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4937A" w14:textId="77777777" w:rsidR="000F10F0" w:rsidRDefault="000F10F0" w:rsidP="00D212FD">
      <w:pPr>
        <w:spacing w:after="0" w:line="240" w:lineRule="auto"/>
      </w:pPr>
      <w:r>
        <w:separator/>
      </w:r>
    </w:p>
  </w:footnote>
  <w:footnote w:type="continuationSeparator" w:id="0">
    <w:p w14:paraId="211B422E" w14:textId="77777777" w:rsidR="000F10F0" w:rsidRDefault="000F10F0" w:rsidP="00D212FD">
      <w:pPr>
        <w:spacing w:after="0" w:line="240" w:lineRule="auto"/>
      </w:pPr>
      <w:r>
        <w:continuationSeparator/>
      </w:r>
    </w:p>
  </w:footnote>
  <w:footnote w:type="continuationNotice" w:id="1">
    <w:p w14:paraId="3991E2B1" w14:textId="77777777" w:rsidR="000F10F0" w:rsidRDefault="000F10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6.8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D6FD6"/>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4CD37486"/>
    <w:multiLevelType w:val="hybridMultilevel"/>
    <w:tmpl w:val="3812652E"/>
    <w:lvl w:ilvl="0" w:tplc="FF840612">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54BBD"/>
    <w:multiLevelType w:val="hybridMultilevel"/>
    <w:tmpl w:val="976EF9AA"/>
    <w:lvl w:ilvl="0" w:tplc="0D5E239E">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8"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5D90328D"/>
    <w:multiLevelType w:val="multilevel"/>
    <w:tmpl w:val="55AAAEAE"/>
    <w:styleLink w:val="CurrentList1"/>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6" w15:restartNumberingAfterBreak="0">
    <w:nsid w:val="77EE2D31"/>
    <w:multiLevelType w:val="hybridMultilevel"/>
    <w:tmpl w:val="D5444D12"/>
    <w:lvl w:ilvl="0" w:tplc="1BA886D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8"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0110536">
    <w:abstractNumId w:val="6"/>
  </w:num>
  <w:num w:numId="2" w16cid:durableId="122772605">
    <w:abstractNumId w:val="7"/>
  </w:num>
  <w:num w:numId="3" w16cid:durableId="537936604">
    <w:abstractNumId w:val="8"/>
  </w:num>
  <w:num w:numId="4" w16cid:durableId="1083378065">
    <w:abstractNumId w:val="41"/>
  </w:num>
  <w:num w:numId="5" w16cid:durableId="1821995839">
    <w:abstractNumId w:val="9"/>
  </w:num>
  <w:num w:numId="6" w16cid:durableId="201982290">
    <w:abstractNumId w:val="16"/>
  </w:num>
  <w:num w:numId="7" w16cid:durableId="1773428235">
    <w:abstractNumId w:val="22"/>
  </w:num>
  <w:num w:numId="8" w16cid:durableId="1609848448">
    <w:abstractNumId w:val="32"/>
  </w:num>
  <w:num w:numId="9" w16cid:durableId="1779331546">
    <w:abstractNumId w:val="24"/>
  </w:num>
  <w:num w:numId="10" w16cid:durableId="1261569199">
    <w:abstractNumId w:val="33"/>
  </w:num>
  <w:num w:numId="11" w16cid:durableId="525025404">
    <w:abstractNumId w:val="11"/>
  </w:num>
  <w:num w:numId="12" w16cid:durableId="893465738">
    <w:abstractNumId w:val="21"/>
  </w:num>
  <w:num w:numId="13" w16cid:durableId="965812590">
    <w:abstractNumId w:val="28"/>
  </w:num>
  <w:num w:numId="14" w16cid:durableId="1532957940">
    <w:abstractNumId w:val="40"/>
  </w:num>
  <w:num w:numId="15" w16cid:durableId="185756151">
    <w:abstractNumId w:val="25"/>
  </w:num>
  <w:num w:numId="16" w16cid:durableId="91820175">
    <w:abstractNumId w:val="39"/>
  </w:num>
  <w:num w:numId="17" w16cid:durableId="402799322">
    <w:abstractNumId w:val="14"/>
  </w:num>
  <w:num w:numId="18" w16cid:durableId="561253538">
    <w:abstractNumId w:val="3"/>
  </w:num>
  <w:num w:numId="19" w16cid:durableId="876623012">
    <w:abstractNumId w:val="17"/>
  </w:num>
  <w:num w:numId="20" w16cid:durableId="1805073807">
    <w:abstractNumId w:val="4"/>
  </w:num>
  <w:num w:numId="21" w16cid:durableId="1891069516">
    <w:abstractNumId w:val="37"/>
  </w:num>
  <w:num w:numId="22" w16cid:durableId="672494008">
    <w:abstractNumId w:val="0"/>
  </w:num>
  <w:num w:numId="23" w16cid:durableId="146094549">
    <w:abstractNumId w:val="19"/>
  </w:num>
  <w:num w:numId="24" w16cid:durableId="805972854">
    <w:abstractNumId w:val="13"/>
  </w:num>
  <w:num w:numId="25" w16cid:durableId="905148180">
    <w:abstractNumId w:val="5"/>
  </w:num>
  <w:num w:numId="26" w16cid:durableId="1263683257">
    <w:abstractNumId w:val="25"/>
  </w:num>
  <w:num w:numId="27" w16cid:durableId="1916814298">
    <w:abstractNumId w:val="2"/>
  </w:num>
  <w:num w:numId="28" w16cid:durableId="432895187">
    <w:abstractNumId w:val="26"/>
  </w:num>
  <w:num w:numId="29" w16cid:durableId="1817528989">
    <w:abstractNumId w:val="26"/>
  </w:num>
  <w:num w:numId="30" w16cid:durableId="1364869634">
    <w:abstractNumId w:val="1"/>
  </w:num>
  <w:num w:numId="31" w16cid:durableId="497770842">
    <w:abstractNumId w:val="35"/>
  </w:num>
  <w:num w:numId="32" w16cid:durableId="416950557">
    <w:abstractNumId w:val="12"/>
  </w:num>
  <w:num w:numId="33" w16cid:durableId="91510939">
    <w:abstractNumId w:val="34"/>
  </w:num>
  <w:num w:numId="34" w16cid:durableId="463542715">
    <w:abstractNumId w:val="38"/>
  </w:num>
  <w:num w:numId="35" w16cid:durableId="1565096526">
    <w:abstractNumId w:val="18"/>
  </w:num>
  <w:num w:numId="36" w16cid:durableId="1168980017">
    <w:abstractNumId w:val="31"/>
  </w:num>
  <w:num w:numId="37" w16cid:durableId="283312973">
    <w:abstractNumId w:val="30"/>
  </w:num>
  <w:num w:numId="38" w16cid:durableId="426392219">
    <w:abstractNumId w:val="15"/>
  </w:num>
  <w:num w:numId="39" w16cid:durableId="2145079118">
    <w:abstractNumId w:val="29"/>
  </w:num>
  <w:num w:numId="40" w16cid:durableId="1243755815">
    <w:abstractNumId w:val="27"/>
  </w:num>
  <w:num w:numId="41" w16cid:durableId="190463330">
    <w:abstractNumId w:val="23"/>
  </w:num>
  <w:num w:numId="42" w16cid:durableId="600454408">
    <w:abstractNumId w:val="20"/>
  </w:num>
  <w:num w:numId="43" w16cid:durableId="1626080048">
    <w:abstractNumId w:val="36"/>
  </w:num>
  <w:num w:numId="44" w16cid:durableId="11371880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10F0"/>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95F9D"/>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6558"/>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D6213"/>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5175"/>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826"/>
    <w:rsid w:val="00932A1C"/>
    <w:rsid w:val="00934CF3"/>
    <w:rsid w:val="00941C0A"/>
    <w:rsid w:val="009434E7"/>
    <w:rsid w:val="00953454"/>
    <w:rsid w:val="00956FAE"/>
    <w:rsid w:val="0095758B"/>
    <w:rsid w:val="00966FED"/>
    <w:rsid w:val="0096705E"/>
    <w:rsid w:val="00972985"/>
    <w:rsid w:val="009739EC"/>
    <w:rsid w:val="00983BC1"/>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6E2C"/>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44150"/>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57CFA"/>
    <w:rsid w:val="00D62A1C"/>
    <w:rsid w:val="00D66285"/>
    <w:rsid w:val="00D712AA"/>
    <w:rsid w:val="00D738A3"/>
    <w:rsid w:val="00D80277"/>
    <w:rsid w:val="00D913E5"/>
    <w:rsid w:val="00D95237"/>
    <w:rsid w:val="00DA3EFF"/>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93D16"/>
    <w:rsid w:val="00FA5A97"/>
    <w:rsid w:val="00FA658F"/>
    <w:rsid w:val="00FB279A"/>
    <w:rsid w:val="00FB73AE"/>
    <w:rsid w:val="00FC2D3C"/>
    <w:rsid w:val="00FD26A2"/>
    <w:rsid w:val="00FE11FB"/>
    <w:rsid w:val="00FE37A9"/>
    <w:rsid w:val="00FE391F"/>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13"/>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 w:type="numbering" w:customStyle="1" w:styleId="CurrentList1">
    <w:name w:val="Current List1"/>
    <w:uiPriority w:val="99"/>
    <w:rsid w:val="00B44150"/>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4</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2024-10-15T21:00:00Z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