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378"/>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971C2" w:rsidRPr="00D62A1C" w14:paraId="06A2B885" w14:textId="77777777" w:rsidTr="007971C2">
        <w:trPr>
          <w:trHeight w:val="713"/>
        </w:trPr>
        <w:tc>
          <w:tcPr>
            <w:tcW w:w="5328" w:type="dxa"/>
            <w:shd w:val="clear" w:color="auto" w:fill="auto"/>
          </w:tcPr>
          <w:p w14:paraId="2388A65C" w14:textId="77777777" w:rsidR="007971C2" w:rsidRPr="00872072" w:rsidRDefault="007971C2" w:rsidP="007971C2">
            <w:pPr>
              <w:spacing w:before="120" w:after="0" w:line="240" w:lineRule="auto"/>
              <w:jc w:val="center"/>
              <w:rPr>
                <w:rFonts w:ascii="Arial" w:hAnsi="Arial" w:cs="Arial"/>
                <w:b/>
                <w:color w:val="C00000"/>
                <w:sz w:val="28"/>
                <w:szCs w:val="36"/>
              </w:rPr>
            </w:pPr>
            <w:bookmarkStart w:id="0" w:name="OLE_LINK3"/>
            <w:bookmarkStart w:id="1" w:name="OLE_LINK4"/>
            <w:r w:rsidRPr="00872072">
              <w:rPr>
                <w:rFonts w:ascii="Arial" w:hAnsi="Arial" w:cs="Arial"/>
                <w:b/>
                <w:color w:val="C00000"/>
                <w:sz w:val="28"/>
                <w:szCs w:val="36"/>
              </w:rPr>
              <w:t xml:space="preserve">[entity] </w:t>
            </w:r>
          </w:p>
          <w:p w14:paraId="4C62E01A" w14:textId="77777777" w:rsidR="007971C2" w:rsidRPr="00872072" w:rsidRDefault="007971C2" w:rsidP="007971C2">
            <w:pPr>
              <w:spacing w:after="120" w:line="240" w:lineRule="auto"/>
              <w:jc w:val="center"/>
              <w:rPr>
                <w:rFonts w:ascii="Arial" w:hAnsi="Arial" w:cs="Arial"/>
              </w:rPr>
            </w:pPr>
            <w:r w:rsidRPr="00872072">
              <w:rPr>
                <w:rFonts w:ascii="Arial" w:hAnsi="Arial" w:cs="Arial"/>
                <w:b/>
                <w:sz w:val="28"/>
                <w:szCs w:val="36"/>
              </w:rPr>
              <w:t>Information Technology Standard</w:t>
            </w:r>
          </w:p>
        </w:tc>
        <w:tc>
          <w:tcPr>
            <w:tcW w:w="4837" w:type="dxa"/>
            <w:vAlign w:val="center"/>
          </w:tcPr>
          <w:p w14:paraId="083C26A2" w14:textId="77777777" w:rsidR="007971C2" w:rsidRPr="00872072" w:rsidRDefault="007971C2" w:rsidP="007971C2">
            <w:pPr>
              <w:spacing w:after="0" w:line="240" w:lineRule="auto"/>
              <w:rPr>
                <w:rFonts w:ascii="Arial" w:hAnsi="Arial" w:cs="Arial"/>
                <w:b/>
                <w:sz w:val="24"/>
              </w:rPr>
            </w:pPr>
            <w:r w:rsidRPr="00872072">
              <w:rPr>
                <w:rFonts w:ascii="Arial" w:hAnsi="Arial" w:cs="Arial"/>
                <w:b/>
                <w:sz w:val="24"/>
              </w:rPr>
              <w:t xml:space="preserve">No: </w:t>
            </w:r>
          </w:p>
        </w:tc>
      </w:tr>
      <w:tr w:rsidR="007971C2" w:rsidRPr="00D62A1C" w14:paraId="144FC19F" w14:textId="77777777" w:rsidTr="007971C2">
        <w:trPr>
          <w:trHeight w:val="617"/>
        </w:trPr>
        <w:tc>
          <w:tcPr>
            <w:tcW w:w="5328" w:type="dxa"/>
            <w:vMerge w:val="restart"/>
            <w:shd w:val="clear" w:color="auto" w:fill="auto"/>
          </w:tcPr>
          <w:p w14:paraId="2B8D8B7A" w14:textId="77777777" w:rsidR="007971C2" w:rsidRPr="00872072" w:rsidRDefault="007971C2" w:rsidP="007971C2">
            <w:pPr>
              <w:spacing w:after="0" w:line="240" w:lineRule="auto"/>
              <w:jc w:val="center"/>
              <w:rPr>
                <w:rFonts w:ascii="Arial" w:hAnsi="Arial" w:cs="Arial"/>
                <w:sz w:val="24"/>
                <w:szCs w:val="40"/>
              </w:rPr>
            </w:pPr>
          </w:p>
          <w:p w14:paraId="702C93E5" w14:textId="77777777" w:rsidR="007971C2" w:rsidRPr="00872072" w:rsidRDefault="007971C2" w:rsidP="007971C2">
            <w:pPr>
              <w:spacing w:after="0" w:line="240" w:lineRule="auto"/>
              <w:jc w:val="center"/>
              <w:rPr>
                <w:rFonts w:ascii="Arial" w:hAnsi="Arial" w:cs="Arial"/>
                <w:sz w:val="24"/>
                <w:szCs w:val="40"/>
              </w:rPr>
            </w:pPr>
            <w:r w:rsidRPr="00872072">
              <w:rPr>
                <w:rFonts w:ascii="Arial" w:hAnsi="Arial" w:cs="Arial"/>
                <w:b/>
                <w:sz w:val="24"/>
                <w:szCs w:val="40"/>
              </w:rPr>
              <w:t>IT Standard</w:t>
            </w:r>
            <w:r w:rsidRPr="00872072">
              <w:rPr>
                <w:rFonts w:ascii="Arial" w:hAnsi="Arial" w:cs="Arial"/>
                <w:sz w:val="24"/>
                <w:szCs w:val="40"/>
              </w:rPr>
              <w:t>:</w:t>
            </w:r>
          </w:p>
          <w:p w14:paraId="7932AA74" w14:textId="77777777" w:rsidR="007971C2" w:rsidRPr="00872072" w:rsidRDefault="007971C2" w:rsidP="007971C2">
            <w:pPr>
              <w:spacing w:after="0" w:line="240" w:lineRule="auto"/>
              <w:jc w:val="center"/>
              <w:rPr>
                <w:rFonts w:ascii="Arial" w:hAnsi="Arial" w:cs="Arial"/>
                <w:sz w:val="24"/>
                <w:szCs w:val="40"/>
              </w:rPr>
            </w:pPr>
          </w:p>
          <w:p w14:paraId="27C2247F" w14:textId="77777777" w:rsidR="007971C2" w:rsidRPr="00872072" w:rsidRDefault="007971C2" w:rsidP="007971C2">
            <w:pPr>
              <w:spacing w:after="240" w:line="240" w:lineRule="auto"/>
              <w:jc w:val="center"/>
              <w:rPr>
                <w:rFonts w:ascii="Arial" w:hAnsi="Arial" w:cs="Arial"/>
                <w:b/>
                <w:sz w:val="52"/>
                <w:szCs w:val="52"/>
              </w:rPr>
            </w:pPr>
            <w:r w:rsidRPr="00872072">
              <w:rPr>
                <w:rFonts w:ascii="Arial" w:hAnsi="Arial" w:cs="Arial"/>
                <w:b/>
                <w:sz w:val="40"/>
              </w:rPr>
              <w:t>Patch Management</w:t>
            </w:r>
          </w:p>
        </w:tc>
        <w:tc>
          <w:tcPr>
            <w:tcW w:w="4837" w:type="dxa"/>
            <w:vAlign w:val="center"/>
          </w:tcPr>
          <w:p w14:paraId="5DFED575" w14:textId="77777777" w:rsidR="007971C2" w:rsidRPr="00872072" w:rsidRDefault="007971C2" w:rsidP="007971C2">
            <w:pPr>
              <w:spacing w:before="120" w:after="120" w:line="240" w:lineRule="auto"/>
              <w:rPr>
                <w:rFonts w:ascii="Arial" w:hAnsi="Arial" w:cs="Arial"/>
                <w:sz w:val="24"/>
              </w:rPr>
            </w:pPr>
            <w:r w:rsidRPr="00872072">
              <w:rPr>
                <w:rFonts w:ascii="Arial" w:hAnsi="Arial" w:cs="Arial"/>
                <w:b/>
                <w:sz w:val="24"/>
              </w:rPr>
              <w:t xml:space="preserve">Updated: </w:t>
            </w:r>
          </w:p>
        </w:tc>
      </w:tr>
      <w:tr w:rsidR="007971C2" w:rsidRPr="00D62A1C" w14:paraId="5B486AA0" w14:textId="77777777" w:rsidTr="007971C2">
        <w:trPr>
          <w:trHeight w:val="1517"/>
        </w:trPr>
        <w:tc>
          <w:tcPr>
            <w:tcW w:w="5328" w:type="dxa"/>
            <w:vMerge/>
            <w:shd w:val="clear" w:color="auto" w:fill="auto"/>
          </w:tcPr>
          <w:p w14:paraId="52C3BB9D" w14:textId="77777777" w:rsidR="007971C2" w:rsidRPr="00872072" w:rsidRDefault="007971C2" w:rsidP="007971C2">
            <w:pPr>
              <w:spacing w:after="0" w:line="240" w:lineRule="auto"/>
              <w:rPr>
                <w:rFonts w:ascii="Arial" w:hAnsi="Arial" w:cs="Arial"/>
              </w:rPr>
            </w:pPr>
          </w:p>
        </w:tc>
        <w:tc>
          <w:tcPr>
            <w:tcW w:w="4837" w:type="dxa"/>
          </w:tcPr>
          <w:p w14:paraId="3A01617C" w14:textId="77777777" w:rsidR="007971C2" w:rsidRPr="00872072" w:rsidRDefault="007971C2" w:rsidP="007971C2">
            <w:pPr>
              <w:spacing w:before="120" w:after="0" w:line="240" w:lineRule="auto"/>
              <w:rPr>
                <w:rFonts w:ascii="Arial" w:hAnsi="Arial" w:cs="Arial"/>
                <w:sz w:val="24"/>
              </w:rPr>
            </w:pPr>
            <w:r w:rsidRPr="00872072">
              <w:rPr>
                <w:rFonts w:ascii="Arial" w:hAnsi="Arial" w:cs="Arial"/>
                <w:b/>
                <w:sz w:val="24"/>
              </w:rPr>
              <w:t xml:space="preserve">Issued By: </w:t>
            </w:r>
          </w:p>
          <w:p w14:paraId="620597A7" w14:textId="77777777" w:rsidR="007971C2" w:rsidRPr="00872072" w:rsidRDefault="007971C2" w:rsidP="007971C2">
            <w:pPr>
              <w:spacing w:after="0" w:line="240" w:lineRule="auto"/>
              <w:rPr>
                <w:rFonts w:ascii="Arial" w:hAnsi="Arial" w:cs="Arial"/>
                <w:sz w:val="24"/>
              </w:rPr>
            </w:pPr>
          </w:p>
          <w:p w14:paraId="0B97D80F" w14:textId="77777777" w:rsidR="007971C2" w:rsidRPr="00872072" w:rsidRDefault="007971C2" w:rsidP="007971C2">
            <w:pPr>
              <w:spacing w:after="240" w:line="240" w:lineRule="auto"/>
              <w:rPr>
                <w:rFonts w:ascii="Arial" w:hAnsi="Arial" w:cs="Arial"/>
                <w:b/>
                <w:sz w:val="24"/>
              </w:rPr>
            </w:pPr>
            <w:r w:rsidRPr="00872072">
              <w:rPr>
                <w:rFonts w:ascii="Arial" w:hAnsi="Arial" w:cs="Arial"/>
                <w:b/>
                <w:sz w:val="24"/>
              </w:rPr>
              <w:t xml:space="preserve">Owner: </w:t>
            </w:r>
          </w:p>
        </w:tc>
      </w:tr>
      <w:bookmarkEnd w:id="0"/>
      <w:bookmarkEnd w:id="1"/>
    </w:tbl>
    <w:p w14:paraId="6BD3CEE9" w14:textId="0272D1C2" w:rsidR="00FD26A2" w:rsidRPr="009A309F" w:rsidRDefault="00FD26A2" w:rsidP="009A309F">
      <w:pPr>
        <w:spacing w:after="0" w:line="240" w:lineRule="auto"/>
        <w:rPr>
          <w:rFonts w:ascii="Arial" w:hAnsi="Arial" w:cs="Arial"/>
        </w:rPr>
      </w:pPr>
    </w:p>
    <w:p w14:paraId="37B5A5F3" w14:textId="77777777" w:rsidR="00FD26A2" w:rsidRPr="00872072" w:rsidRDefault="003A60BF" w:rsidP="00872072">
      <w:pPr>
        <w:pStyle w:val="Heading1"/>
        <w:rPr>
          <w:color w:val="auto"/>
        </w:rPr>
      </w:pPr>
      <w:r w:rsidRPr="00872072">
        <w:rPr>
          <w:color w:val="auto"/>
        </w:rPr>
        <w:t>1.0 Purpose and Benefits</w:t>
      </w:r>
    </w:p>
    <w:p w14:paraId="4EAC24EE" w14:textId="77777777" w:rsidR="00CF278D" w:rsidRPr="00B03DB2" w:rsidRDefault="004C0AB0" w:rsidP="006264D2">
      <w:pPr>
        <w:spacing w:line="240" w:lineRule="auto"/>
        <w:ind w:right="446"/>
        <w:jc w:val="both"/>
        <w:rPr>
          <w:rFonts w:ascii="Arial" w:hAnsi="Arial" w:cs="Arial"/>
          <w:sz w:val="24"/>
          <w:szCs w:val="24"/>
        </w:rPr>
      </w:pPr>
      <w:r w:rsidRPr="00B03DB2">
        <w:rPr>
          <w:rFonts w:ascii="Arial" w:hAnsi="Arial" w:cs="Arial"/>
          <w:sz w:val="24"/>
          <w:szCs w:val="24"/>
        </w:rPr>
        <w:t xml:space="preserve">Security patch management (patch management) is a practice designed to proactively prevent the exploitation of IT vulnerabilities that exist within an organization. By applying security related software or firmware updates (patches) to applicable IT systems, the expected result is reduced time and money spent dealing with exploits by reducing or eliminating the related vulnerability. </w:t>
      </w:r>
    </w:p>
    <w:p w14:paraId="3D11AD81" w14:textId="77777777" w:rsidR="00FD26A2" w:rsidRPr="00872072" w:rsidRDefault="00FD26A2" w:rsidP="00872072">
      <w:pPr>
        <w:pStyle w:val="Heading1"/>
        <w:rPr>
          <w:color w:val="auto"/>
        </w:rPr>
      </w:pPr>
      <w:r w:rsidRPr="00872072">
        <w:rPr>
          <w:color w:val="auto"/>
        </w:rPr>
        <w:t xml:space="preserve">2.0 </w:t>
      </w:r>
      <w:r w:rsidR="003A60BF" w:rsidRPr="00872072">
        <w:rPr>
          <w:color w:val="auto"/>
        </w:rPr>
        <w:t>Authority</w:t>
      </w:r>
    </w:p>
    <w:p w14:paraId="0D50B5E6" w14:textId="710EF7B3" w:rsidR="006C3FFD" w:rsidRPr="00604F92" w:rsidRDefault="00604F92" w:rsidP="0040370C">
      <w:pPr>
        <w:ind w:right="180"/>
        <w:jc w:val="both"/>
        <w:rPr>
          <w:rFonts w:ascii="Arial" w:hAnsi="Arial" w:cs="Arial"/>
          <w:i/>
          <w:iCs/>
          <w:color w:val="C00000"/>
          <w:sz w:val="24"/>
          <w:szCs w:val="24"/>
        </w:rPr>
      </w:pPr>
      <w:r w:rsidRPr="00604F92">
        <w:rPr>
          <w:rFonts w:ascii="Arial" w:hAnsi="Arial" w:cs="Arial"/>
          <w:i/>
          <w:iCs/>
          <w:color w:val="C00000"/>
          <w:sz w:val="24"/>
          <w:szCs w:val="24"/>
        </w:rPr>
        <w:t>[Organization Authority Needed]</w:t>
      </w:r>
    </w:p>
    <w:p w14:paraId="50600963" w14:textId="77777777" w:rsidR="00FD26A2" w:rsidRPr="00872072" w:rsidRDefault="00FD26A2" w:rsidP="00872072">
      <w:pPr>
        <w:pStyle w:val="Heading1"/>
        <w:rPr>
          <w:color w:val="auto"/>
        </w:rPr>
      </w:pPr>
      <w:r w:rsidRPr="00872072">
        <w:rPr>
          <w:color w:val="auto"/>
        </w:rPr>
        <w:t>3.0 Scope</w:t>
      </w:r>
    </w:p>
    <w:p w14:paraId="6CE076CF" w14:textId="4D0AB76A" w:rsidR="004C0AB0" w:rsidRDefault="004C0AB0" w:rsidP="004C0AB0">
      <w:pPr>
        <w:spacing w:line="240" w:lineRule="auto"/>
        <w:ind w:right="446"/>
        <w:jc w:val="both"/>
        <w:rPr>
          <w:rFonts w:ascii="Arial" w:hAnsi="Arial" w:cs="Arial"/>
          <w:sz w:val="24"/>
          <w:szCs w:val="24"/>
        </w:rPr>
      </w:pPr>
      <w:r w:rsidRPr="00457F32">
        <w:rPr>
          <w:rFonts w:ascii="Arial" w:hAnsi="Arial" w:cs="Arial"/>
          <w:sz w:val="24"/>
          <w:szCs w:val="24"/>
        </w:rPr>
        <w:t xml:space="preserve">This standard relates specifically to vulnerabilities that can be addressed by a software or firmware update (patch) and applies to all software used on </w:t>
      </w:r>
      <w:r w:rsidR="00604F92">
        <w:rPr>
          <w:rFonts w:ascii="Arial" w:hAnsi="Arial" w:cs="Arial"/>
          <w:sz w:val="24"/>
          <w:szCs w:val="24"/>
        </w:rPr>
        <w:t xml:space="preserve">the entity’s </w:t>
      </w:r>
      <w:r w:rsidRPr="00457F32">
        <w:rPr>
          <w:rFonts w:ascii="Arial" w:hAnsi="Arial" w:cs="Arial"/>
          <w:sz w:val="24"/>
          <w:szCs w:val="24"/>
        </w:rPr>
        <w:t xml:space="preserve">systems.  The </w:t>
      </w:r>
      <w:r w:rsidRPr="00872072">
        <w:rPr>
          <w:rFonts w:ascii="Arial" w:hAnsi="Arial" w:cs="Arial"/>
          <w:sz w:val="24"/>
          <w:szCs w:val="24"/>
        </w:rPr>
        <w:t>Vulnerability Scanning Standard</w:t>
      </w:r>
      <w:r w:rsidRPr="00457F32">
        <w:rPr>
          <w:rFonts w:ascii="Arial" w:hAnsi="Arial" w:cs="Arial"/>
          <w:sz w:val="24"/>
          <w:szCs w:val="24"/>
        </w:rPr>
        <w:t xml:space="preserve"> should be followed for requirements on addressing non-patched vulnerabilities.</w:t>
      </w:r>
    </w:p>
    <w:p w14:paraId="7A3AE379" w14:textId="77777777" w:rsidR="00FD26A2" w:rsidRPr="00872072" w:rsidRDefault="00FD26A2" w:rsidP="00872072">
      <w:pPr>
        <w:pStyle w:val="Heading1"/>
        <w:rPr>
          <w:color w:val="auto"/>
        </w:rPr>
      </w:pPr>
      <w:r w:rsidRPr="00872072">
        <w:rPr>
          <w:color w:val="auto"/>
        </w:rPr>
        <w:t xml:space="preserve">4.0 </w:t>
      </w:r>
      <w:r w:rsidR="00C23014" w:rsidRPr="00872072">
        <w:rPr>
          <w:color w:val="auto"/>
        </w:rPr>
        <w:t>Information</w:t>
      </w:r>
      <w:r w:rsidRPr="00872072">
        <w:rPr>
          <w:color w:val="auto"/>
        </w:rPr>
        <w:t xml:space="preserve"> Statement</w:t>
      </w:r>
    </w:p>
    <w:p w14:paraId="403597F6" w14:textId="4435735C" w:rsidR="004C0AB0" w:rsidRPr="004C0AB0" w:rsidRDefault="00604F92" w:rsidP="00457F32">
      <w:pPr>
        <w:numPr>
          <w:ilvl w:val="0"/>
          <w:numId w:val="36"/>
        </w:numPr>
        <w:tabs>
          <w:tab w:val="left" w:pos="3229"/>
        </w:tabs>
        <w:spacing w:line="240" w:lineRule="auto"/>
        <w:ind w:right="450"/>
        <w:jc w:val="both"/>
        <w:rPr>
          <w:rFonts w:ascii="Arial" w:hAnsi="Arial" w:cs="Arial"/>
          <w:sz w:val="24"/>
          <w:szCs w:val="24"/>
        </w:rPr>
      </w:pPr>
      <w:r>
        <w:rPr>
          <w:rFonts w:ascii="Arial" w:hAnsi="Arial" w:cs="Arial"/>
          <w:sz w:val="24"/>
          <w:szCs w:val="24"/>
        </w:rPr>
        <w:t>Entities</w:t>
      </w:r>
      <w:r w:rsidR="004C0AB0" w:rsidRPr="004C0AB0">
        <w:rPr>
          <w:rFonts w:ascii="Arial" w:hAnsi="Arial" w:cs="Arial"/>
          <w:sz w:val="24"/>
          <w:szCs w:val="24"/>
        </w:rPr>
        <w:t xml:space="preserve"> must assign an individual or group within IT operations to be responsible for patch management.</w:t>
      </w:r>
    </w:p>
    <w:p w14:paraId="63138DB5" w14:textId="4C2F4E58"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 xml:space="preserve">If patch management is outsourced, service level agreements must be in place that address the requirements of this standard and outline responsibilities for patching.  If patching is the responsibility of the third party, </w:t>
      </w:r>
      <w:r w:rsidR="00604F92">
        <w:rPr>
          <w:rFonts w:ascii="Arial" w:hAnsi="Arial" w:cs="Arial"/>
          <w:sz w:val="24"/>
          <w:szCs w:val="24"/>
        </w:rPr>
        <w:t xml:space="preserve">entities </w:t>
      </w:r>
      <w:r w:rsidRPr="004C0AB0">
        <w:rPr>
          <w:rFonts w:ascii="Arial" w:hAnsi="Arial" w:cs="Arial"/>
          <w:sz w:val="24"/>
          <w:szCs w:val="24"/>
        </w:rPr>
        <w:t>must verify that the patches have been applied.</w:t>
      </w:r>
    </w:p>
    <w:p w14:paraId="003054B1" w14:textId="77777777"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A process must be in place to manage patches.  This process must include the following:</w:t>
      </w:r>
    </w:p>
    <w:p w14:paraId="592DA80C"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monitoring security sources (</w:t>
      </w:r>
      <w:hyperlink w:anchor="AppendixA" w:history="1">
        <w:r w:rsidRPr="004C0AB0">
          <w:rPr>
            <w:rFonts w:ascii="Arial" w:hAnsi="Arial" w:cs="Arial"/>
            <w:color w:val="0000FF" w:themeColor="hyperlink"/>
            <w:sz w:val="24"/>
            <w:szCs w:val="24"/>
            <w:u w:val="single"/>
          </w:rPr>
          <w:t>Appen</w:t>
        </w:r>
        <w:r w:rsidRPr="004C0AB0">
          <w:rPr>
            <w:rFonts w:ascii="Arial" w:hAnsi="Arial" w:cs="Arial"/>
            <w:color w:val="0000FF" w:themeColor="hyperlink"/>
            <w:sz w:val="24"/>
            <w:szCs w:val="24"/>
            <w:u w:val="single"/>
          </w:rPr>
          <w:t>d</w:t>
        </w:r>
        <w:r w:rsidRPr="004C0AB0">
          <w:rPr>
            <w:rFonts w:ascii="Arial" w:hAnsi="Arial" w:cs="Arial"/>
            <w:color w:val="0000FF" w:themeColor="hyperlink"/>
            <w:sz w:val="24"/>
            <w:szCs w:val="24"/>
            <w:u w:val="single"/>
          </w:rPr>
          <w:t>ix A</w:t>
        </w:r>
      </w:hyperlink>
      <w:r w:rsidRPr="004C0AB0">
        <w:rPr>
          <w:rFonts w:ascii="Arial" w:hAnsi="Arial" w:cs="Arial"/>
          <w:sz w:val="24"/>
          <w:szCs w:val="24"/>
        </w:rPr>
        <w:t>) for vulnerabilities, patch and non-patch remediation, and emerging threats;</w:t>
      </w:r>
    </w:p>
    <w:p w14:paraId="4794B278"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lastRenderedPageBreak/>
        <w:t>overseeing patch distribution, including verifying that a change control procedure is being followed;</w:t>
      </w:r>
    </w:p>
    <w:p w14:paraId="2E8F9337"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testing for stability and deploying patches; and</w:t>
      </w:r>
    </w:p>
    <w:p w14:paraId="550F74DA"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using an automated centralized patch management distribution tool, whenever technically feasible, which:</w:t>
      </w:r>
    </w:p>
    <w:p w14:paraId="4D02C129" w14:textId="77777777" w:rsidR="004C0AB0" w:rsidRPr="004C0AB0" w:rsidRDefault="004C0AB0" w:rsidP="00457F32">
      <w:pPr>
        <w:numPr>
          <w:ilvl w:val="1"/>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maintains a database of patches;</w:t>
      </w:r>
    </w:p>
    <w:p w14:paraId="7DB9264C" w14:textId="77777777" w:rsidR="004C0AB0" w:rsidRPr="004C0AB0" w:rsidRDefault="004C0AB0" w:rsidP="00457F32">
      <w:pPr>
        <w:numPr>
          <w:ilvl w:val="1"/>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deploys patches to endpoints; and</w:t>
      </w:r>
    </w:p>
    <w:p w14:paraId="42FF1ABC" w14:textId="77777777" w:rsidR="004C0AB0" w:rsidRPr="004C0AB0" w:rsidRDefault="004C0AB0" w:rsidP="00457F32">
      <w:pPr>
        <w:numPr>
          <w:ilvl w:val="1"/>
          <w:numId w:val="33"/>
        </w:numPr>
        <w:tabs>
          <w:tab w:val="left" w:pos="3229"/>
        </w:tabs>
        <w:spacing w:line="240" w:lineRule="auto"/>
        <w:ind w:left="1627" w:right="450"/>
        <w:jc w:val="both"/>
        <w:rPr>
          <w:rFonts w:ascii="Arial" w:hAnsi="Arial" w:cs="Arial"/>
          <w:sz w:val="24"/>
          <w:szCs w:val="24"/>
        </w:rPr>
      </w:pPr>
      <w:r w:rsidRPr="004C0AB0">
        <w:rPr>
          <w:rFonts w:ascii="Arial" w:hAnsi="Arial" w:cs="Arial"/>
          <w:sz w:val="24"/>
          <w:szCs w:val="24"/>
        </w:rPr>
        <w:t>verifies</w:t>
      </w:r>
      <w:r w:rsidR="00B82EF0">
        <w:rPr>
          <w:rFonts w:ascii="Arial" w:hAnsi="Arial" w:cs="Arial"/>
          <w:sz w:val="24"/>
          <w:szCs w:val="24"/>
        </w:rPr>
        <w:t xml:space="preserve"> </w:t>
      </w:r>
      <w:r w:rsidRPr="004C0AB0">
        <w:rPr>
          <w:rFonts w:ascii="Arial" w:hAnsi="Arial" w:cs="Arial"/>
          <w:sz w:val="24"/>
          <w:szCs w:val="24"/>
        </w:rPr>
        <w:t>installation of patches.</w:t>
      </w:r>
    </w:p>
    <w:p w14:paraId="4FB17224" w14:textId="77777777"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Appropriate separation of duties must exist so that the individual(s) verifying patch distribution is not the same individual(s) who is distributing the patches.</w:t>
      </w:r>
    </w:p>
    <w:p w14:paraId="6574B2BB" w14:textId="5A91384D"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 xml:space="preserve">As per the </w:t>
      </w:r>
      <w:r w:rsidRPr="00872072">
        <w:rPr>
          <w:rFonts w:ascii="Arial" w:hAnsi="Arial" w:cs="Arial"/>
          <w:sz w:val="24"/>
          <w:szCs w:val="24"/>
        </w:rPr>
        <w:t>Information Security Policy</w:t>
      </w:r>
      <w:r w:rsidRPr="004C0AB0">
        <w:rPr>
          <w:rFonts w:ascii="Arial" w:hAnsi="Arial" w:cs="Arial"/>
          <w:sz w:val="24"/>
          <w:szCs w:val="24"/>
        </w:rPr>
        <w:t xml:space="preserve">, all </w:t>
      </w:r>
      <w:r w:rsidR="00604F92">
        <w:rPr>
          <w:rFonts w:ascii="Arial" w:hAnsi="Arial" w:cs="Arial"/>
          <w:sz w:val="24"/>
          <w:szCs w:val="24"/>
        </w:rPr>
        <w:t>entities</w:t>
      </w:r>
      <w:r w:rsidRPr="004C0AB0">
        <w:rPr>
          <w:rFonts w:ascii="Arial" w:hAnsi="Arial" w:cs="Arial"/>
          <w:sz w:val="24"/>
          <w:szCs w:val="24"/>
        </w:rPr>
        <w:t xml:space="preserve"> must maintain an inventory of hardware and software assets.  Patch management must incorporate all installed IT assets.  </w:t>
      </w:r>
    </w:p>
    <w:p w14:paraId="48F9A01A" w14:textId="77777777"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 xml:space="preserve">Patch management must be prioritized based on the severity of the vulnerability the patch addresses.  In most cases, severity ratings are based on the Common Vulnerability Scoring System (CVSS). A CVSS score of 7-10 is considered a high impact vulnerability, a CVSS score of 4-6.9 is considered a moderate impact vulnerability and a CVSS of 0-3.9 is considered a low impact vulnerability. </w:t>
      </w:r>
    </w:p>
    <w:p w14:paraId="632A2AC0" w14:textId="77777777" w:rsidR="004C0AB0" w:rsidRPr="004C0AB0" w:rsidRDefault="004C0AB0" w:rsidP="006B09C7">
      <w:pPr>
        <w:keepNext/>
        <w:keepLines/>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To the extent possible, the patching process must follow the timeline contained in the table below:</w:t>
      </w:r>
    </w:p>
    <w:tbl>
      <w:tblPr>
        <w:tblStyle w:val="TableGrid1"/>
        <w:tblW w:w="10350" w:type="dxa"/>
        <w:tblInd w:w="-455" w:type="dxa"/>
        <w:tblLook w:val="04A0" w:firstRow="1" w:lastRow="0" w:firstColumn="1" w:lastColumn="0" w:noHBand="0" w:noVBand="1"/>
      </w:tblPr>
      <w:tblGrid>
        <w:gridCol w:w="2265"/>
        <w:gridCol w:w="4035"/>
        <w:gridCol w:w="4050"/>
      </w:tblGrid>
      <w:tr w:rsidR="004C0AB0" w:rsidRPr="004C0AB0" w14:paraId="2E280A9C" w14:textId="77777777" w:rsidTr="006B09C7">
        <w:tc>
          <w:tcPr>
            <w:tcW w:w="2265" w:type="dxa"/>
          </w:tcPr>
          <w:p w14:paraId="63B6F8E4" w14:textId="77777777" w:rsidR="004C0AB0" w:rsidRPr="004C0AB0" w:rsidRDefault="004C0AB0" w:rsidP="006B09C7">
            <w:pPr>
              <w:keepNext/>
              <w:keepLines/>
              <w:spacing w:after="0" w:line="240" w:lineRule="auto"/>
              <w:ind w:left="547" w:right="274" w:hanging="547"/>
              <w:contextualSpacing/>
              <w:jc w:val="center"/>
              <w:rPr>
                <w:rFonts w:ascii="Arial" w:hAnsi="Arial" w:cs="Arial"/>
                <w:b/>
                <w:sz w:val="24"/>
                <w:szCs w:val="24"/>
              </w:rPr>
            </w:pPr>
            <w:r w:rsidRPr="004C0AB0">
              <w:rPr>
                <w:rFonts w:ascii="Arial" w:hAnsi="Arial" w:cs="Arial"/>
                <w:b/>
                <w:sz w:val="24"/>
                <w:szCs w:val="24"/>
              </w:rPr>
              <w:t>Impact/Severity</w:t>
            </w:r>
          </w:p>
        </w:tc>
        <w:tc>
          <w:tcPr>
            <w:tcW w:w="4035" w:type="dxa"/>
          </w:tcPr>
          <w:p w14:paraId="7D77274E" w14:textId="77777777" w:rsidR="004C0AB0" w:rsidRPr="004C0AB0" w:rsidRDefault="004C0AB0" w:rsidP="006B09C7">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Initiated</w:t>
            </w:r>
          </w:p>
        </w:tc>
        <w:tc>
          <w:tcPr>
            <w:tcW w:w="4050" w:type="dxa"/>
          </w:tcPr>
          <w:p w14:paraId="5F2BCB6D" w14:textId="77777777" w:rsidR="004C0AB0" w:rsidRPr="004C0AB0" w:rsidRDefault="004C0AB0" w:rsidP="006B09C7">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Completed</w:t>
            </w:r>
          </w:p>
        </w:tc>
      </w:tr>
      <w:tr w:rsidR="004C0AB0" w:rsidRPr="004C0AB0" w14:paraId="22195AE1" w14:textId="77777777" w:rsidTr="006B09C7">
        <w:tc>
          <w:tcPr>
            <w:tcW w:w="2265" w:type="dxa"/>
          </w:tcPr>
          <w:p w14:paraId="512BDFBB"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High</w:t>
            </w:r>
          </w:p>
        </w:tc>
        <w:tc>
          <w:tcPr>
            <w:tcW w:w="4035" w:type="dxa"/>
          </w:tcPr>
          <w:p w14:paraId="1B32F9B4"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24 hours</w:t>
            </w:r>
            <w:r w:rsidRPr="004C0AB0">
              <w:rPr>
                <w:rFonts w:ascii="Arial" w:hAnsi="Arial" w:cs="Arial"/>
                <w:sz w:val="24"/>
                <w:szCs w:val="24"/>
              </w:rPr>
              <w:t xml:space="preserve"> of patch release</w:t>
            </w:r>
          </w:p>
        </w:tc>
        <w:tc>
          <w:tcPr>
            <w:tcW w:w="4050" w:type="dxa"/>
          </w:tcPr>
          <w:p w14:paraId="0DA23008"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r>
      <w:tr w:rsidR="004C0AB0" w:rsidRPr="004C0AB0" w14:paraId="63B7BCD8" w14:textId="77777777" w:rsidTr="006B09C7">
        <w:tc>
          <w:tcPr>
            <w:tcW w:w="2265" w:type="dxa"/>
          </w:tcPr>
          <w:p w14:paraId="41C03784"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Medium</w:t>
            </w:r>
          </w:p>
        </w:tc>
        <w:tc>
          <w:tcPr>
            <w:tcW w:w="4035" w:type="dxa"/>
          </w:tcPr>
          <w:p w14:paraId="061E8B43"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c>
          <w:tcPr>
            <w:tcW w:w="4050" w:type="dxa"/>
          </w:tcPr>
          <w:p w14:paraId="5CD147AE"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sidRPr="004C0AB0">
              <w:rPr>
                <w:rFonts w:ascii="Arial" w:hAnsi="Arial" w:cs="Arial"/>
                <w:sz w:val="24"/>
                <w:szCs w:val="24"/>
              </w:rPr>
              <w:t xml:space="preserve"> of patch release</w:t>
            </w:r>
          </w:p>
        </w:tc>
      </w:tr>
      <w:tr w:rsidR="004C0AB0" w:rsidRPr="004C0AB0" w14:paraId="5CB4A3ED" w14:textId="77777777" w:rsidTr="006B09C7">
        <w:tc>
          <w:tcPr>
            <w:tcW w:w="2265" w:type="dxa"/>
          </w:tcPr>
          <w:p w14:paraId="1AD4941F"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Low</w:t>
            </w:r>
          </w:p>
        </w:tc>
        <w:tc>
          <w:tcPr>
            <w:tcW w:w="4035" w:type="dxa"/>
          </w:tcPr>
          <w:p w14:paraId="68432115"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Pr>
                <w:rFonts w:ascii="Arial" w:hAnsi="Arial" w:cs="Arial"/>
                <w:sz w:val="24"/>
                <w:szCs w:val="24"/>
              </w:rPr>
              <w:t xml:space="preserve"> of p</w:t>
            </w:r>
            <w:r w:rsidRPr="004C0AB0">
              <w:rPr>
                <w:rFonts w:ascii="Arial" w:hAnsi="Arial" w:cs="Arial"/>
                <w:sz w:val="24"/>
                <w:szCs w:val="24"/>
              </w:rPr>
              <w:t>atch release</w:t>
            </w:r>
          </w:p>
        </w:tc>
        <w:tc>
          <w:tcPr>
            <w:tcW w:w="4050" w:type="dxa"/>
          </w:tcPr>
          <w:p w14:paraId="725908D4" w14:textId="77777777" w:rsidR="004C0AB0" w:rsidRPr="004C0AB0" w:rsidRDefault="004C0AB0" w:rsidP="006B09C7">
            <w:pPr>
              <w:keepNext/>
              <w:keepLines/>
              <w:spacing w:after="0" w:line="240" w:lineRule="auto"/>
              <w:ind w:left="540" w:right="270" w:hanging="540"/>
              <w:contextualSpacing/>
              <w:jc w:val="both"/>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 months</w:t>
            </w:r>
            <w:r w:rsidRPr="004C0AB0">
              <w:rPr>
                <w:rFonts w:ascii="Arial" w:hAnsi="Arial" w:cs="Arial"/>
                <w:sz w:val="24"/>
                <w:szCs w:val="24"/>
              </w:rPr>
              <w:t xml:space="preserve"> of patch release, unless ISO determines this to be an insignificant risk to the environment</w:t>
            </w:r>
          </w:p>
        </w:tc>
      </w:tr>
    </w:tbl>
    <w:p w14:paraId="19019F21" w14:textId="3986C186" w:rsidR="004C0AB0" w:rsidRPr="004C0AB0" w:rsidRDefault="004C0AB0" w:rsidP="006B09C7">
      <w:pPr>
        <w:numPr>
          <w:ilvl w:val="0"/>
          <w:numId w:val="36"/>
        </w:numPr>
        <w:spacing w:before="200" w:line="240" w:lineRule="auto"/>
        <w:ind w:right="274"/>
        <w:jc w:val="both"/>
        <w:rPr>
          <w:rFonts w:ascii="Arial" w:hAnsi="Arial" w:cs="Arial"/>
          <w:sz w:val="24"/>
          <w:szCs w:val="24"/>
        </w:rPr>
      </w:pPr>
      <w:r w:rsidRPr="004C0AB0">
        <w:rPr>
          <w:rFonts w:ascii="Arial" w:hAnsi="Arial" w:cs="Arial"/>
          <w:sz w:val="24"/>
          <w:szCs w:val="24"/>
        </w:rPr>
        <w:t xml:space="preserve">If patching cannot be completed in the timeframe listed in the table above, compensating controls must be put in place within the timeframes above and the </w:t>
      </w:r>
      <w:r w:rsidRPr="00872072">
        <w:rPr>
          <w:rFonts w:ascii="Arial" w:hAnsi="Arial" w:cs="Arial"/>
          <w:sz w:val="24"/>
          <w:szCs w:val="24"/>
        </w:rPr>
        <w:t xml:space="preserve">exception process </w:t>
      </w:r>
      <w:r w:rsidRPr="004C0AB0">
        <w:rPr>
          <w:rFonts w:ascii="Arial" w:hAnsi="Arial" w:cs="Arial"/>
          <w:sz w:val="24"/>
          <w:szCs w:val="24"/>
        </w:rPr>
        <w:t>must be followed.</w:t>
      </w:r>
    </w:p>
    <w:p w14:paraId="6E427B45" w14:textId="77777777" w:rsidR="002867B4" w:rsidRPr="00457F32" w:rsidRDefault="004C0AB0" w:rsidP="006B09C7">
      <w:pPr>
        <w:numPr>
          <w:ilvl w:val="0"/>
          <w:numId w:val="36"/>
        </w:numPr>
        <w:tabs>
          <w:tab w:val="left" w:pos="3229"/>
        </w:tabs>
        <w:spacing w:line="240" w:lineRule="auto"/>
        <w:ind w:right="270"/>
        <w:jc w:val="both"/>
        <w:rPr>
          <w:rFonts w:ascii="Arial" w:hAnsi="Arial" w:cs="Arial"/>
          <w:sz w:val="24"/>
          <w:szCs w:val="24"/>
        </w:rPr>
      </w:pPr>
      <w:r w:rsidRPr="004C0AB0">
        <w:rPr>
          <w:rFonts w:ascii="Arial" w:hAnsi="Arial" w:cs="Arial"/>
          <w:sz w:val="24"/>
          <w:szCs w:val="24"/>
        </w:rPr>
        <w:t>If a patch requires a reboot for installation, the reboot must occur within the timeframes outlined above.</w:t>
      </w:r>
    </w:p>
    <w:p w14:paraId="077FEE72" w14:textId="77777777" w:rsidR="00FD26A2" w:rsidRPr="00872072" w:rsidRDefault="00AF069C" w:rsidP="00872072">
      <w:pPr>
        <w:pStyle w:val="Heading1"/>
        <w:rPr>
          <w:color w:val="auto"/>
        </w:rPr>
      </w:pPr>
      <w:r w:rsidRPr="00872072">
        <w:rPr>
          <w:color w:val="auto"/>
        </w:rPr>
        <w:t>5.0 Compliance</w:t>
      </w:r>
    </w:p>
    <w:p w14:paraId="51EB3FF0" w14:textId="69369480"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872072">
        <w:rPr>
          <w:rFonts w:ascii="Arial" w:hAnsi="Arial" w:cs="Arial"/>
          <w:sz w:val="24"/>
          <w:szCs w:val="24"/>
        </w:rPr>
        <w:t>P</w:t>
      </w:r>
      <w:r w:rsidRPr="00705317">
        <w:rPr>
          <w:rFonts w:ascii="Arial" w:hAnsi="Arial" w:cs="Arial"/>
          <w:sz w:val="24"/>
          <w:szCs w:val="24"/>
        </w:rPr>
        <w:t>olicies and standards</w:t>
      </w:r>
      <w:r w:rsidR="00872072">
        <w:rPr>
          <w:rFonts w:ascii="Arial" w:hAnsi="Arial" w:cs="Arial"/>
          <w:sz w:val="24"/>
          <w:szCs w:val="24"/>
        </w:rPr>
        <w:t xml:space="preserve"> may be amended</w:t>
      </w:r>
      <w:r w:rsidRPr="00705317">
        <w:rPr>
          <w:rFonts w:ascii="Arial" w:hAnsi="Arial" w:cs="Arial"/>
          <w:sz w:val="24"/>
          <w:szCs w:val="24"/>
        </w:rPr>
        <w:t xml:space="preserve"> at any time.</w:t>
      </w:r>
    </w:p>
    <w:p w14:paraId="4900C0B0" w14:textId="12576524"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lastRenderedPageBreak/>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DA19BB">
        <w:rPr>
          <w:rFonts w:ascii="Arial" w:hAnsi="Arial" w:cs="Arial"/>
          <w:sz w:val="24"/>
          <w:szCs w:val="24"/>
        </w:rPr>
        <w:t>entities</w:t>
      </w:r>
      <w:r w:rsidRPr="00896333">
        <w:rPr>
          <w:rFonts w:ascii="Arial" w:hAnsi="Arial" w:cs="Arial"/>
          <w:sz w:val="24"/>
          <w:szCs w:val="24"/>
        </w:rPr>
        <w:t xml:space="preserve"> shall request an exception through the </w:t>
      </w:r>
      <w:r w:rsidR="001F7C69">
        <w:rPr>
          <w:rFonts w:ascii="Arial" w:hAnsi="Arial" w:cs="Arial"/>
          <w:sz w:val="24"/>
          <w:szCs w:val="24"/>
        </w:rPr>
        <w:t>Chief</w:t>
      </w:r>
      <w:r w:rsidRPr="00896333">
        <w:rPr>
          <w:rFonts w:ascii="Arial" w:hAnsi="Arial" w:cs="Arial"/>
          <w:sz w:val="24"/>
          <w:szCs w:val="24"/>
        </w:rPr>
        <w:t xml:space="preserve"> Information Security Office</w:t>
      </w:r>
      <w:r w:rsidR="00DA19BB">
        <w:rPr>
          <w:rFonts w:ascii="Arial" w:hAnsi="Arial" w:cs="Arial"/>
          <w:sz w:val="24"/>
          <w:szCs w:val="24"/>
        </w:rPr>
        <w:t>r’s</w:t>
      </w:r>
      <w:r w:rsidRPr="00896333">
        <w:rPr>
          <w:rFonts w:ascii="Arial" w:hAnsi="Arial" w:cs="Arial"/>
          <w:sz w:val="24"/>
          <w:szCs w:val="24"/>
        </w:rPr>
        <w:t xml:space="preserve"> </w:t>
      </w:r>
      <w:r w:rsidRPr="00872072">
        <w:rPr>
          <w:rFonts w:ascii="Arial" w:hAnsi="Arial" w:cs="Arial"/>
          <w:sz w:val="24"/>
          <w:szCs w:val="24"/>
        </w:rPr>
        <w:t>exception process</w:t>
      </w:r>
      <w:r w:rsidRPr="00896333">
        <w:rPr>
          <w:rFonts w:ascii="Arial" w:hAnsi="Arial" w:cs="Arial"/>
          <w:sz w:val="24"/>
          <w:szCs w:val="24"/>
        </w:rPr>
        <w:t>.</w:t>
      </w:r>
    </w:p>
    <w:p w14:paraId="3CED0C5C" w14:textId="77777777" w:rsidR="00B82EF0" w:rsidRPr="00896333" w:rsidRDefault="00B82EF0" w:rsidP="006264D2">
      <w:pPr>
        <w:spacing w:line="240" w:lineRule="auto"/>
        <w:ind w:right="446"/>
        <w:jc w:val="both"/>
        <w:rPr>
          <w:rFonts w:ascii="Arial" w:hAnsi="Arial" w:cs="Arial"/>
          <w:sz w:val="24"/>
          <w:szCs w:val="24"/>
        </w:rPr>
      </w:pPr>
    </w:p>
    <w:p w14:paraId="6CFFF8E4" w14:textId="77777777" w:rsidR="00FD26A2" w:rsidRPr="00872072" w:rsidRDefault="00FD26A2" w:rsidP="00872072">
      <w:pPr>
        <w:pStyle w:val="Heading1"/>
        <w:rPr>
          <w:color w:val="auto"/>
        </w:rPr>
      </w:pPr>
      <w:r w:rsidRPr="00872072">
        <w:rPr>
          <w:color w:val="auto"/>
        </w:rPr>
        <w:t>6.0 Definitions of Key Terms</w:t>
      </w:r>
    </w:p>
    <w:p w14:paraId="5F97AEB6" w14:textId="77777777" w:rsidR="00872072" w:rsidRDefault="00872072" w:rsidP="0087207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872072" w:rsidRPr="00D62A1C" w14:paraId="4150CFC3" w14:textId="77777777" w:rsidTr="00C07D38">
        <w:trPr>
          <w:trHeight w:val="304"/>
        </w:trPr>
        <w:tc>
          <w:tcPr>
            <w:tcW w:w="1800" w:type="dxa"/>
            <w:tcBorders>
              <w:top w:val="single" w:sz="8" w:space="0" w:color="000000"/>
              <w:left w:val="single" w:sz="8" w:space="0" w:color="000000"/>
              <w:bottom w:val="single" w:sz="8" w:space="0" w:color="000000"/>
              <w:right w:val="single" w:sz="8" w:space="0" w:color="000000"/>
            </w:tcBorders>
          </w:tcPr>
          <w:p w14:paraId="5916555B" w14:textId="77777777" w:rsidR="00872072" w:rsidRPr="00B70E50" w:rsidRDefault="00872072" w:rsidP="00C07D38">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48D56AB6" w14:textId="77777777" w:rsidR="00872072" w:rsidRPr="00D62A1C" w:rsidRDefault="00872072" w:rsidP="00C07D38">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3E6B9C1D" w14:textId="77777777" w:rsidR="00872072" w:rsidRPr="00D62A1C" w:rsidRDefault="00872072" w:rsidP="00C07D38">
            <w:pPr>
              <w:pStyle w:val="Default"/>
              <w:jc w:val="both"/>
              <w:rPr>
                <w:b/>
                <w:bCs/>
              </w:rPr>
            </w:pPr>
            <w:r w:rsidRPr="00D62A1C">
              <w:rPr>
                <w:b/>
                <w:bCs/>
              </w:rPr>
              <w:t>Reviewer</w:t>
            </w:r>
          </w:p>
        </w:tc>
      </w:tr>
      <w:tr w:rsidR="00872072" w:rsidRPr="00D62A1C" w14:paraId="6C4E6E1E" w14:textId="77777777" w:rsidTr="00C07D38">
        <w:trPr>
          <w:trHeight w:val="457"/>
        </w:trPr>
        <w:tc>
          <w:tcPr>
            <w:tcW w:w="1800" w:type="dxa"/>
            <w:tcBorders>
              <w:top w:val="single" w:sz="8" w:space="0" w:color="000000"/>
              <w:left w:val="single" w:sz="8" w:space="0" w:color="000000"/>
              <w:bottom w:val="single" w:sz="8" w:space="0" w:color="000000"/>
              <w:right w:val="single" w:sz="8" w:space="0" w:color="000000"/>
            </w:tcBorders>
          </w:tcPr>
          <w:p w14:paraId="543F53C4" w14:textId="77777777" w:rsidR="00872072" w:rsidRPr="001421AE" w:rsidRDefault="00872072" w:rsidP="00C07D38">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1C7D5D92" w14:textId="77777777" w:rsidR="00872072" w:rsidRPr="001421AE" w:rsidRDefault="00872072" w:rsidP="00C07D38">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107B7BF0" w14:textId="77777777" w:rsidR="00872072" w:rsidRPr="001421AE" w:rsidRDefault="00872072" w:rsidP="00C07D38">
            <w:pPr>
              <w:pStyle w:val="Default"/>
              <w:rPr>
                <w:color w:val="auto"/>
              </w:rPr>
            </w:pPr>
          </w:p>
        </w:tc>
      </w:tr>
    </w:tbl>
    <w:p w14:paraId="29C690ED" w14:textId="77777777" w:rsidR="00B82EF0" w:rsidRDefault="00B82EF0" w:rsidP="006264D2">
      <w:pPr>
        <w:spacing w:line="240" w:lineRule="auto"/>
        <w:ind w:right="446"/>
        <w:jc w:val="both"/>
        <w:rPr>
          <w:rFonts w:ascii="Arial" w:hAnsi="Arial" w:cs="Arial"/>
          <w:sz w:val="24"/>
          <w:szCs w:val="24"/>
        </w:rPr>
      </w:pPr>
    </w:p>
    <w:p w14:paraId="7AC57007" w14:textId="77777777" w:rsidR="00426882" w:rsidRPr="00872072" w:rsidRDefault="00FD26A2" w:rsidP="00872072">
      <w:pPr>
        <w:pStyle w:val="Heading1"/>
        <w:rPr>
          <w:color w:val="auto"/>
        </w:rPr>
      </w:pPr>
      <w:r w:rsidRPr="00872072">
        <w:rPr>
          <w:color w:val="auto"/>
        </w:rPr>
        <w:t>7.0 Contact Information</w:t>
      </w:r>
    </w:p>
    <w:p w14:paraId="0367A359"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356F9D25" w14:textId="41524636" w:rsidR="00E71E67" w:rsidRPr="00DA19BB" w:rsidRDefault="00DA19BB" w:rsidP="00DF1E03">
      <w:pPr>
        <w:spacing w:line="252" w:lineRule="auto"/>
        <w:ind w:right="446"/>
        <w:jc w:val="center"/>
        <w:rPr>
          <w:rFonts w:ascii="Arial" w:hAnsi="Arial" w:cs="Arial"/>
          <w:b/>
          <w:color w:val="C00000"/>
          <w:sz w:val="24"/>
          <w:szCs w:val="24"/>
        </w:rPr>
      </w:pPr>
      <w:r w:rsidRPr="00DA19BB">
        <w:rPr>
          <w:rFonts w:ascii="Arial" w:hAnsi="Arial" w:cs="Arial"/>
          <w:b/>
          <w:color w:val="C00000"/>
          <w:sz w:val="24"/>
          <w:szCs w:val="24"/>
        </w:rPr>
        <w:t>[Entity Address]</w:t>
      </w:r>
    </w:p>
    <w:p w14:paraId="6BC22518" w14:textId="77777777" w:rsidR="00FD26A2" w:rsidRPr="00872072" w:rsidRDefault="00FD26A2" w:rsidP="00872072">
      <w:pPr>
        <w:pStyle w:val="Heading1"/>
        <w:rPr>
          <w:color w:val="auto"/>
        </w:rPr>
      </w:pPr>
      <w:r w:rsidRPr="00872072">
        <w:rPr>
          <w:color w:val="auto"/>
        </w:rPr>
        <w:t>8.0 R</w:t>
      </w:r>
      <w:r w:rsidR="00B34139" w:rsidRPr="00872072">
        <w:rPr>
          <w:color w:val="auto"/>
        </w:rPr>
        <w:t>evision</w:t>
      </w:r>
      <w:r w:rsidRPr="00872072">
        <w:rPr>
          <w:color w:val="auto"/>
        </w:rPr>
        <w:t xml:space="preserve"> History</w:t>
      </w:r>
    </w:p>
    <w:p w14:paraId="1215E968" w14:textId="77777777" w:rsidR="00B82EF0" w:rsidRDefault="00B82EF0" w:rsidP="00B82EF0">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5C6F8E6D"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6DA7EC9B"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5E2CEE7E"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7CC63F19" w14:textId="77777777" w:rsidR="001A0541" w:rsidRPr="00D62A1C" w:rsidRDefault="001A0541" w:rsidP="00342A91">
            <w:pPr>
              <w:pStyle w:val="Default"/>
              <w:jc w:val="both"/>
              <w:rPr>
                <w:b/>
                <w:bCs/>
              </w:rPr>
            </w:pPr>
            <w:r w:rsidRPr="00D62A1C">
              <w:rPr>
                <w:b/>
                <w:bCs/>
              </w:rPr>
              <w:t>Reviewer</w:t>
            </w:r>
          </w:p>
        </w:tc>
      </w:tr>
      <w:tr w:rsidR="00572440" w:rsidRPr="00D62A1C" w14:paraId="717CDAEA"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3EB7DE9D" w14:textId="00194896" w:rsidR="00572440" w:rsidRPr="00572440" w:rsidRDefault="00572440" w:rsidP="00572440">
            <w:pPr>
              <w:autoSpaceDE w:val="0"/>
              <w:autoSpaceDN w:val="0"/>
              <w:adjustRightInd w:val="0"/>
              <w:spacing w:after="0" w:line="240" w:lineRule="auto"/>
              <w:rPr>
                <w:rFonts w:ascii="Arial" w:hAnsi="Arial" w:cs="Arial"/>
                <w:color w:val="000000"/>
                <w:sz w:val="24"/>
                <w:szCs w:val="24"/>
              </w:rPr>
            </w:pPr>
          </w:p>
        </w:tc>
        <w:tc>
          <w:tcPr>
            <w:tcW w:w="5220" w:type="dxa"/>
            <w:tcBorders>
              <w:top w:val="single" w:sz="8" w:space="0" w:color="000000"/>
              <w:left w:val="single" w:sz="8" w:space="0" w:color="000000"/>
              <w:bottom w:val="single" w:sz="8" w:space="0" w:color="000000"/>
              <w:right w:val="single" w:sz="8" w:space="0" w:color="000000"/>
            </w:tcBorders>
          </w:tcPr>
          <w:p w14:paraId="2EE3FFE8" w14:textId="43326A00" w:rsidR="00572440" w:rsidRPr="00572440" w:rsidRDefault="00572440" w:rsidP="00572440">
            <w:pPr>
              <w:autoSpaceDE w:val="0"/>
              <w:autoSpaceDN w:val="0"/>
              <w:adjustRightInd w:val="0"/>
              <w:spacing w:after="0" w:line="240" w:lineRule="auto"/>
              <w:rPr>
                <w:rFonts w:ascii="Arial" w:hAnsi="Arial" w:cs="Arial"/>
                <w:color w:val="000000"/>
                <w:sz w:val="24"/>
                <w:szCs w:val="24"/>
              </w:rPr>
            </w:pPr>
          </w:p>
        </w:tc>
        <w:tc>
          <w:tcPr>
            <w:tcW w:w="2132" w:type="dxa"/>
            <w:tcBorders>
              <w:top w:val="single" w:sz="8" w:space="0" w:color="000000"/>
              <w:left w:val="single" w:sz="8" w:space="0" w:color="000000"/>
              <w:bottom w:val="single" w:sz="8" w:space="0" w:color="000000"/>
              <w:right w:val="single" w:sz="8" w:space="0" w:color="000000"/>
            </w:tcBorders>
          </w:tcPr>
          <w:p w14:paraId="7BDD3D12" w14:textId="04301215" w:rsidR="00572440" w:rsidRPr="00572440" w:rsidRDefault="00572440" w:rsidP="00572440">
            <w:pPr>
              <w:autoSpaceDE w:val="0"/>
              <w:autoSpaceDN w:val="0"/>
              <w:adjustRightInd w:val="0"/>
              <w:spacing w:after="0" w:line="240" w:lineRule="auto"/>
              <w:rPr>
                <w:rFonts w:ascii="Arial" w:hAnsi="Arial" w:cs="Arial"/>
                <w:color w:val="000000"/>
                <w:sz w:val="24"/>
                <w:szCs w:val="24"/>
              </w:rPr>
            </w:pPr>
          </w:p>
        </w:tc>
      </w:tr>
    </w:tbl>
    <w:p w14:paraId="0F774298" w14:textId="77777777" w:rsidR="00862653" w:rsidRPr="00872072" w:rsidRDefault="00FD26A2" w:rsidP="00872072">
      <w:pPr>
        <w:pStyle w:val="Heading1"/>
        <w:rPr>
          <w:color w:val="auto"/>
        </w:rPr>
      </w:pPr>
      <w:bookmarkStart w:id="2" w:name="_9.0_Related_Documents"/>
      <w:bookmarkEnd w:id="2"/>
      <w:r w:rsidRPr="00872072">
        <w:rPr>
          <w:color w:val="auto"/>
        </w:rPr>
        <w:t>9.0 Related Documents</w:t>
      </w:r>
    </w:p>
    <w:p w14:paraId="6D427392" w14:textId="390500B3" w:rsidR="00572440" w:rsidRPr="007971C2" w:rsidRDefault="007971C2" w:rsidP="00DC4CE2">
      <w:pPr>
        <w:spacing w:before="120"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"https://csrc.nist.gov/publications/detail/sp/800-40/rev-3/final" </w:instrText>
      </w:r>
      <w:r>
        <w:rPr>
          <w:rFonts w:ascii="Arial" w:hAnsi="Arial" w:cs="Arial"/>
          <w:sz w:val="24"/>
          <w:szCs w:val="24"/>
        </w:rPr>
      </w:r>
      <w:r>
        <w:rPr>
          <w:rFonts w:ascii="Arial" w:hAnsi="Arial" w:cs="Arial"/>
          <w:sz w:val="24"/>
          <w:szCs w:val="24"/>
        </w:rPr>
        <w:fldChar w:fldCharType="separate"/>
      </w:r>
      <w:r w:rsidR="00DC4CE2" w:rsidRPr="007971C2">
        <w:rPr>
          <w:rStyle w:val="Hyperlink"/>
          <w:rFonts w:ascii="Arial" w:hAnsi="Arial" w:cs="Arial"/>
          <w:sz w:val="24"/>
          <w:szCs w:val="24"/>
        </w:rPr>
        <w:t>National Institute of Standards and Technology, Special Publication 800-40, Guide to Enterprise Patch Management Technologies</w:t>
      </w:r>
    </w:p>
    <w:p w14:paraId="29588FC7" w14:textId="12BB115D" w:rsidR="00572440" w:rsidRPr="007971C2" w:rsidRDefault="007971C2" w:rsidP="00DC4CE2">
      <w:pPr>
        <w:spacing w:before="120"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"https://nvd.nist.gov/vuln-metrics/cvss" </w:instrText>
      </w:r>
      <w:r>
        <w:rPr>
          <w:rFonts w:ascii="Arial" w:hAnsi="Arial" w:cs="Arial"/>
          <w:sz w:val="24"/>
          <w:szCs w:val="24"/>
        </w:rPr>
      </w:r>
      <w:r>
        <w:rPr>
          <w:rFonts w:ascii="Arial" w:hAnsi="Arial" w:cs="Arial"/>
          <w:sz w:val="24"/>
          <w:szCs w:val="24"/>
        </w:rPr>
        <w:fldChar w:fldCharType="separate"/>
      </w:r>
      <w:r w:rsidR="00572440" w:rsidRPr="007971C2">
        <w:rPr>
          <w:rStyle w:val="Hyperlink"/>
          <w:rFonts w:ascii="Arial" w:hAnsi="Arial" w:cs="Arial"/>
          <w:sz w:val="24"/>
          <w:szCs w:val="24"/>
        </w:rPr>
        <w:t>Common Vulnerability Scoring System</w:t>
      </w:r>
    </w:p>
    <w:p w14:paraId="581EAE0F" w14:textId="080D3F40" w:rsidR="00572440" w:rsidRPr="00572440" w:rsidRDefault="007971C2" w:rsidP="00DC4CE2">
      <w:pPr>
        <w:spacing w:before="120" w:after="240" w:line="240" w:lineRule="auto"/>
        <w:ind w:right="446"/>
        <w:jc w:val="both"/>
        <w:rPr>
          <w:rFonts w:ascii="Arial" w:hAnsi="Arial" w:cs="Arial"/>
          <w:sz w:val="24"/>
          <w:szCs w:val="24"/>
        </w:rPr>
        <w:sectPr w:rsidR="00572440" w:rsidRPr="00572440" w:rsidSect="00FD26A2">
          <w:footerReference w:type="default" r:id="rId11"/>
          <w:headerReference w:type="first" r:id="rId12"/>
          <w:footerReference w:type="first" r:id="rId13"/>
          <w:pgSz w:w="12240" w:h="15840"/>
          <w:pgMar w:top="1440" w:right="1170" w:bottom="1440" w:left="1440" w:header="720" w:footer="720" w:gutter="0"/>
          <w:cols w:space="720"/>
          <w:titlePg/>
          <w:docGrid w:linePitch="360"/>
        </w:sectPr>
      </w:pPr>
      <w:r>
        <w:rPr>
          <w:rFonts w:ascii="Arial" w:hAnsi="Arial" w:cs="Arial"/>
          <w:sz w:val="24"/>
          <w:szCs w:val="24"/>
        </w:rPr>
        <w:fldChar w:fldCharType="end"/>
      </w:r>
      <w:r w:rsidR="00572440" w:rsidRPr="00872072">
        <w:rPr>
          <w:rFonts w:ascii="Arial" w:hAnsi="Arial" w:cs="Arial"/>
          <w:sz w:val="24"/>
          <w:szCs w:val="24"/>
        </w:rPr>
        <w:t>Vulnerability Scanning Standard</w:t>
      </w:r>
    </w:p>
    <w:p w14:paraId="2C084972" w14:textId="77777777" w:rsidR="00572440" w:rsidRDefault="00572440" w:rsidP="006264D2">
      <w:pPr>
        <w:spacing w:line="240" w:lineRule="auto"/>
        <w:ind w:right="446"/>
        <w:jc w:val="both"/>
        <w:rPr>
          <w:rFonts w:ascii="Arial" w:hAnsi="Arial" w:cs="Arial"/>
          <w:sz w:val="24"/>
          <w:szCs w:val="24"/>
        </w:rPr>
      </w:pPr>
    </w:p>
    <w:p w14:paraId="0BA62C82"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Vendor websites/notification lists</w:t>
      </w:r>
    </w:p>
    <w:p w14:paraId="64423154"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Vulnerability Scanners</w:t>
      </w:r>
    </w:p>
    <w:p w14:paraId="5A6B51CF"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Penetration Tests</w:t>
      </w:r>
    </w:p>
    <w:p w14:paraId="622E65E3" w14:textId="4EDF73BF" w:rsidR="00572440" w:rsidRPr="00DC4CE2" w:rsidRDefault="00253ECD" w:rsidP="00DC4CE2">
      <w:pPr>
        <w:numPr>
          <w:ilvl w:val="0"/>
          <w:numId w:val="35"/>
        </w:numPr>
        <w:spacing w:before="120" w:after="120"/>
        <w:ind w:left="360" w:right="446"/>
        <w:jc w:val="both"/>
        <w:rPr>
          <w:rFonts w:ascii="Arial" w:hAnsi="Arial" w:cs="Arial"/>
          <w:sz w:val="24"/>
          <w:szCs w:val="24"/>
        </w:rPr>
      </w:pPr>
      <w:hyperlink r:id="rId14" w:history="1">
        <w:r w:rsidR="00572440" w:rsidRPr="00DC4CE2">
          <w:rPr>
            <w:rFonts w:ascii="Arial" w:hAnsi="Arial" w:cs="Arial"/>
            <w:color w:val="0000FF" w:themeColor="hyperlink"/>
            <w:sz w:val="24"/>
            <w:szCs w:val="24"/>
            <w:u w:val="single"/>
          </w:rPr>
          <w:t>National Vulnerability Database</w:t>
        </w:r>
      </w:hyperlink>
    </w:p>
    <w:p w14:paraId="2907A0B0" w14:textId="77777777" w:rsidR="00572440" w:rsidRPr="00D62A1C" w:rsidRDefault="00572440" w:rsidP="006264D2">
      <w:pPr>
        <w:spacing w:line="240" w:lineRule="auto"/>
        <w:ind w:right="446"/>
        <w:jc w:val="both"/>
        <w:rPr>
          <w:rFonts w:ascii="Arial" w:hAnsi="Arial" w:cs="Arial"/>
          <w:sz w:val="24"/>
          <w:szCs w:val="24"/>
        </w:rPr>
      </w:pPr>
      <w:bookmarkStart w:id="3" w:name="_GoBack"/>
      <w:bookmarkEnd w:id="3"/>
    </w:p>
    <w:sectPr w:rsidR="00572440" w:rsidRPr="00D62A1C" w:rsidSect="00517A11">
      <w:headerReference w:type="even" r:id="rId15"/>
      <w:headerReference w:type="default" r:id="rId16"/>
      <w:footerReference w:type="default" r:id="rId17"/>
      <w:headerReference w:type="first" r:id="rId18"/>
      <w:footerReference w:type="first" r:id="rId19"/>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85A1D" w14:textId="77777777" w:rsidR="008A570A" w:rsidRDefault="008A570A" w:rsidP="00D212FD">
      <w:pPr>
        <w:spacing w:after="0" w:line="240" w:lineRule="auto"/>
      </w:pPr>
      <w:r>
        <w:separator/>
      </w:r>
    </w:p>
  </w:endnote>
  <w:endnote w:type="continuationSeparator" w:id="0">
    <w:p w14:paraId="1F83D7CF" w14:textId="77777777" w:rsidR="008A570A" w:rsidRDefault="008A570A" w:rsidP="00D212FD">
      <w:pPr>
        <w:spacing w:after="0" w:line="240" w:lineRule="auto"/>
      </w:pPr>
      <w:r>
        <w:continuationSeparator/>
      </w:r>
    </w:p>
  </w:endnote>
  <w:endnote w:type="continuationNotice" w:id="1">
    <w:p w14:paraId="7868B98C" w14:textId="77777777" w:rsidR="008A570A" w:rsidRDefault="008A57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21002A87" w:usb1="090F0000" w:usb2="00000010"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20A25" w14:textId="77777777" w:rsidR="00572440" w:rsidRDefault="00572440" w:rsidP="0057022C">
    <w:pPr>
      <w:pStyle w:val="Footer"/>
      <w:tabs>
        <w:tab w:val="clear" w:pos="4680"/>
        <w:tab w:val="clear" w:pos="9360"/>
        <w:tab w:val="right" w:pos="10800"/>
      </w:tabs>
      <w:ind w:left="-720"/>
      <w:rPr>
        <w:rFonts w:ascii="Tw Cen MT" w:hAnsi="Tw Cen MT"/>
        <w:b/>
        <w:sz w:val="20"/>
        <w:szCs w:val="16"/>
      </w:rPr>
    </w:pPr>
  </w:p>
  <w:p w14:paraId="4D0C0E2C" w14:textId="270D0978" w:rsidR="00572440" w:rsidRPr="007971C2" w:rsidRDefault="00DA19BB" w:rsidP="0057022C">
    <w:pPr>
      <w:pStyle w:val="Footer"/>
      <w:tabs>
        <w:tab w:val="clear" w:pos="4680"/>
      </w:tabs>
      <w:ind w:left="-720"/>
      <w:rPr>
        <w:rFonts w:ascii="Arial" w:hAnsi="Arial" w:cs="Arial"/>
        <w:b/>
        <w:sz w:val="20"/>
        <w:szCs w:val="16"/>
      </w:rPr>
    </w:pPr>
    <w:r w:rsidRPr="007971C2">
      <w:rPr>
        <w:rFonts w:ascii="Arial" w:hAnsi="Arial" w:cs="Arial"/>
        <w:b/>
        <w:sz w:val="20"/>
        <w:szCs w:val="16"/>
      </w:rPr>
      <w:t>Patch Management Standard</w:t>
    </w:r>
    <w:r w:rsidR="00572440" w:rsidRPr="007971C2">
      <w:rPr>
        <w:rFonts w:ascii="Arial" w:hAnsi="Arial" w:cs="Arial"/>
        <w:b/>
        <w:sz w:val="20"/>
        <w:szCs w:val="16"/>
      </w:rPr>
      <w:tab/>
      <w:t xml:space="preserve">Page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PAGE </w:instrText>
    </w:r>
    <w:r w:rsidR="00572440" w:rsidRPr="007971C2">
      <w:rPr>
        <w:rFonts w:ascii="Arial" w:hAnsi="Arial" w:cs="Arial"/>
        <w:b/>
        <w:sz w:val="20"/>
        <w:szCs w:val="16"/>
      </w:rPr>
      <w:fldChar w:fldCharType="separate"/>
    </w:r>
    <w:r w:rsidR="002A6DCB" w:rsidRPr="007971C2">
      <w:rPr>
        <w:rFonts w:ascii="Arial" w:hAnsi="Arial" w:cs="Arial"/>
        <w:b/>
        <w:noProof/>
        <w:sz w:val="20"/>
        <w:szCs w:val="16"/>
      </w:rPr>
      <w:t>4</w:t>
    </w:r>
    <w:r w:rsidR="00572440" w:rsidRPr="007971C2">
      <w:rPr>
        <w:rFonts w:ascii="Arial" w:hAnsi="Arial" w:cs="Arial"/>
        <w:b/>
        <w:sz w:val="20"/>
        <w:szCs w:val="16"/>
      </w:rPr>
      <w:fldChar w:fldCharType="end"/>
    </w:r>
    <w:r w:rsidR="00572440" w:rsidRPr="007971C2">
      <w:rPr>
        <w:rFonts w:ascii="Arial" w:hAnsi="Arial" w:cs="Arial"/>
        <w:b/>
        <w:sz w:val="20"/>
        <w:szCs w:val="16"/>
      </w:rPr>
      <w:t xml:space="preserve"> of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SECTIONPAGES  </w:instrText>
    </w:r>
    <w:r w:rsidR="00572440" w:rsidRPr="007971C2">
      <w:rPr>
        <w:rFonts w:ascii="Arial" w:hAnsi="Arial" w:cs="Arial"/>
        <w:b/>
        <w:sz w:val="20"/>
        <w:szCs w:val="16"/>
      </w:rPr>
      <w:fldChar w:fldCharType="separate"/>
    </w:r>
    <w:r w:rsidR="00253ECD">
      <w:rPr>
        <w:rFonts w:ascii="Arial" w:hAnsi="Arial" w:cs="Arial"/>
        <w:b/>
        <w:noProof/>
        <w:sz w:val="20"/>
        <w:szCs w:val="16"/>
      </w:rPr>
      <w:t>3</w:t>
    </w:r>
    <w:r w:rsidR="00572440" w:rsidRPr="007971C2">
      <w:rPr>
        <w:rFonts w:ascii="Arial" w:hAnsi="Arial" w:cs="Arial"/>
        <w:b/>
        <w:sz w:val="20"/>
        <w:szCs w:val="16"/>
      </w:rPr>
      <w:fldChar w:fldCharType="end"/>
    </w:r>
  </w:p>
  <w:p w14:paraId="62889AEE" w14:textId="77777777" w:rsidR="00572440" w:rsidRPr="00DA19BB" w:rsidRDefault="00572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F1F2" w14:textId="77777777" w:rsidR="00572440" w:rsidRDefault="00572440" w:rsidP="0057022C">
    <w:pPr>
      <w:pStyle w:val="Footer"/>
      <w:tabs>
        <w:tab w:val="clear" w:pos="4680"/>
        <w:tab w:val="clear" w:pos="9360"/>
        <w:tab w:val="right" w:pos="10800"/>
      </w:tabs>
      <w:ind w:left="-720"/>
      <w:rPr>
        <w:rFonts w:ascii="Tw Cen MT" w:hAnsi="Tw Cen MT"/>
        <w:b/>
        <w:sz w:val="20"/>
        <w:szCs w:val="16"/>
      </w:rPr>
    </w:pPr>
  </w:p>
  <w:p w14:paraId="5A37ADC0" w14:textId="1485E1AE" w:rsidR="00572440" w:rsidRPr="007971C2" w:rsidRDefault="00872072" w:rsidP="0057022C">
    <w:pPr>
      <w:pStyle w:val="Footer"/>
      <w:tabs>
        <w:tab w:val="clear" w:pos="4680"/>
      </w:tabs>
      <w:ind w:left="-720"/>
      <w:rPr>
        <w:rFonts w:ascii="Arial" w:hAnsi="Arial" w:cs="Arial"/>
        <w:b/>
        <w:sz w:val="20"/>
        <w:szCs w:val="16"/>
      </w:rPr>
    </w:pPr>
    <w:r w:rsidRPr="007971C2">
      <w:rPr>
        <w:rFonts w:ascii="Arial" w:hAnsi="Arial" w:cs="Arial"/>
        <w:b/>
        <w:sz w:val="20"/>
        <w:szCs w:val="16"/>
      </w:rPr>
      <w:t>Patch Management Standard</w:t>
    </w:r>
    <w:r w:rsidR="00572440" w:rsidRPr="007971C2">
      <w:rPr>
        <w:rFonts w:ascii="Arial" w:hAnsi="Arial" w:cs="Arial"/>
        <w:b/>
        <w:sz w:val="20"/>
        <w:szCs w:val="16"/>
      </w:rPr>
      <w:tab/>
      <w:t xml:space="preserve">Page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PAGE </w:instrText>
    </w:r>
    <w:r w:rsidR="00572440" w:rsidRPr="007971C2">
      <w:rPr>
        <w:rFonts w:ascii="Arial" w:hAnsi="Arial" w:cs="Arial"/>
        <w:b/>
        <w:sz w:val="20"/>
        <w:szCs w:val="16"/>
      </w:rPr>
      <w:fldChar w:fldCharType="separate"/>
    </w:r>
    <w:r w:rsidR="002A6DCB" w:rsidRPr="007971C2">
      <w:rPr>
        <w:rFonts w:ascii="Arial" w:hAnsi="Arial" w:cs="Arial"/>
        <w:b/>
        <w:noProof/>
        <w:sz w:val="20"/>
        <w:szCs w:val="16"/>
      </w:rPr>
      <w:t>1</w:t>
    </w:r>
    <w:r w:rsidR="00572440" w:rsidRPr="007971C2">
      <w:rPr>
        <w:rFonts w:ascii="Arial" w:hAnsi="Arial" w:cs="Arial"/>
        <w:b/>
        <w:sz w:val="20"/>
        <w:szCs w:val="16"/>
      </w:rPr>
      <w:fldChar w:fldCharType="end"/>
    </w:r>
    <w:r w:rsidR="00572440" w:rsidRPr="007971C2">
      <w:rPr>
        <w:rFonts w:ascii="Arial" w:hAnsi="Arial" w:cs="Arial"/>
        <w:b/>
        <w:sz w:val="20"/>
        <w:szCs w:val="16"/>
      </w:rPr>
      <w:t xml:space="preserve"> of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SECTIONPAGES  </w:instrText>
    </w:r>
    <w:r w:rsidR="00572440" w:rsidRPr="007971C2">
      <w:rPr>
        <w:rFonts w:ascii="Arial" w:hAnsi="Arial" w:cs="Arial"/>
        <w:b/>
        <w:sz w:val="20"/>
        <w:szCs w:val="16"/>
      </w:rPr>
      <w:fldChar w:fldCharType="separate"/>
    </w:r>
    <w:r w:rsidR="00253ECD">
      <w:rPr>
        <w:rFonts w:ascii="Arial" w:hAnsi="Arial" w:cs="Arial"/>
        <w:b/>
        <w:noProof/>
        <w:sz w:val="20"/>
        <w:szCs w:val="16"/>
      </w:rPr>
      <w:t>3</w:t>
    </w:r>
    <w:r w:rsidR="00572440" w:rsidRPr="007971C2">
      <w:rPr>
        <w:rFonts w:ascii="Arial" w:hAnsi="Arial" w:cs="Arial"/>
        <w:b/>
        <w:sz w:val="20"/>
        <w:szCs w:val="16"/>
      </w:rPr>
      <w:fldChar w:fldCharType="end"/>
    </w:r>
  </w:p>
  <w:p w14:paraId="25117A9D" w14:textId="77777777" w:rsidR="00572440" w:rsidRDefault="00572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5C329" w14:textId="77777777" w:rsidR="0056160A" w:rsidRPr="00D62A1C" w:rsidRDefault="00572440" w:rsidP="00B56BA6">
    <w:pPr>
      <w:pStyle w:val="Footer"/>
      <w:rPr>
        <w:rFonts w:ascii="Tw Cen MT" w:hAnsi="Tw Cen MT"/>
        <w:b/>
        <w:color w:val="E35205"/>
        <w:sz w:val="20"/>
        <w:szCs w:val="16"/>
      </w:rPr>
    </w:pPr>
    <w:r>
      <w:rPr>
        <w:rFonts w:ascii="Tw Cen MT" w:hAnsi="Tw Cen MT"/>
        <w:b/>
        <w:color w:val="E35205"/>
        <w:sz w:val="20"/>
        <w:szCs w:val="16"/>
      </w:rPr>
      <w:t>NYS-S15-001</w:t>
    </w:r>
    <w:r w:rsidR="0056160A" w:rsidRPr="00D62A1C">
      <w:rPr>
        <w:rFonts w:ascii="Tw Cen MT" w:hAnsi="Tw Cen MT"/>
        <w:b/>
        <w:color w:val="E35205"/>
        <w:sz w:val="20"/>
        <w:szCs w:val="16"/>
      </w:rPr>
      <w:tab/>
    </w:r>
    <w:r w:rsidR="0056160A" w:rsidRPr="00D62A1C">
      <w:rPr>
        <w:rFonts w:ascii="Tw Cen MT" w:hAnsi="Tw Cen MT"/>
        <w:b/>
        <w:color w:val="E35205"/>
        <w:sz w:val="20"/>
        <w:szCs w:val="16"/>
      </w:rPr>
      <w:tab/>
      <w:t xml:space="preserve">Page </w:t>
    </w:r>
    <w:r w:rsidR="0056160A" w:rsidRPr="00D62A1C">
      <w:rPr>
        <w:rFonts w:ascii="Tw Cen MT" w:hAnsi="Tw Cen MT"/>
        <w:b/>
        <w:color w:val="E35205"/>
        <w:sz w:val="20"/>
        <w:szCs w:val="16"/>
      </w:rPr>
      <w:fldChar w:fldCharType="begin"/>
    </w:r>
    <w:r w:rsidR="0056160A" w:rsidRPr="00D62A1C">
      <w:rPr>
        <w:rFonts w:ascii="Tw Cen MT" w:hAnsi="Tw Cen MT"/>
        <w:b/>
        <w:color w:val="E35205"/>
        <w:sz w:val="20"/>
        <w:szCs w:val="16"/>
      </w:rPr>
      <w:instrText xml:space="preserve"> PAGE </w:instrText>
    </w:r>
    <w:r w:rsidR="0056160A" w:rsidRPr="00D62A1C">
      <w:rPr>
        <w:rFonts w:ascii="Tw Cen MT" w:hAnsi="Tw Cen MT"/>
        <w:b/>
        <w:color w:val="E35205"/>
        <w:sz w:val="20"/>
        <w:szCs w:val="16"/>
      </w:rPr>
      <w:fldChar w:fldCharType="separate"/>
    </w:r>
    <w:r>
      <w:rPr>
        <w:rFonts w:ascii="Tw Cen MT" w:hAnsi="Tw Cen MT"/>
        <w:b/>
        <w:noProof/>
        <w:color w:val="E35205"/>
        <w:sz w:val="20"/>
        <w:szCs w:val="16"/>
      </w:rPr>
      <w:t>4</w:t>
    </w:r>
    <w:r w:rsidR="0056160A" w:rsidRPr="00D62A1C">
      <w:rPr>
        <w:rFonts w:ascii="Tw Cen MT" w:hAnsi="Tw Cen MT"/>
        <w:b/>
        <w:color w:val="E35205"/>
        <w:sz w:val="20"/>
        <w:szCs w:val="16"/>
      </w:rPr>
      <w:fldChar w:fldCharType="end"/>
    </w:r>
    <w:r w:rsidR="0056160A" w:rsidRPr="00D62A1C">
      <w:rPr>
        <w:rFonts w:ascii="Tw Cen MT" w:hAnsi="Tw Cen MT"/>
        <w:b/>
        <w:color w:val="E35205"/>
        <w:sz w:val="20"/>
        <w:szCs w:val="16"/>
      </w:rPr>
      <w:t xml:space="preserve"> of </w:t>
    </w:r>
    <w:r w:rsidR="0056160A" w:rsidRPr="00D62A1C">
      <w:rPr>
        <w:rFonts w:ascii="Tw Cen MT" w:hAnsi="Tw Cen MT"/>
        <w:b/>
        <w:color w:val="E35205"/>
        <w:sz w:val="20"/>
        <w:szCs w:val="16"/>
      </w:rPr>
      <w:fldChar w:fldCharType="begin"/>
    </w:r>
    <w:r w:rsidR="0056160A" w:rsidRPr="00D62A1C">
      <w:rPr>
        <w:rFonts w:ascii="Tw Cen MT" w:hAnsi="Tw Cen MT"/>
        <w:b/>
        <w:color w:val="E35205"/>
        <w:sz w:val="20"/>
        <w:szCs w:val="16"/>
      </w:rPr>
      <w:instrText xml:space="preserve"> SECTIONPAGES  </w:instrText>
    </w:r>
    <w:r w:rsidR="0056160A" w:rsidRPr="00D62A1C">
      <w:rPr>
        <w:rFonts w:ascii="Tw Cen MT" w:hAnsi="Tw Cen MT"/>
        <w:b/>
        <w:color w:val="E35205"/>
        <w:sz w:val="20"/>
        <w:szCs w:val="16"/>
      </w:rPr>
      <w:fldChar w:fldCharType="separate"/>
    </w:r>
    <w:r>
      <w:rPr>
        <w:rFonts w:ascii="Tw Cen MT" w:hAnsi="Tw Cen MT"/>
        <w:b/>
        <w:noProof/>
        <w:color w:val="E35205"/>
        <w:sz w:val="20"/>
        <w:szCs w:val="16"/>
      </w:rPr>
      <w:t>4</w:t>
    </w:r>
    <w:r w:rsidR="0056160A" w:rsidRPr="00D62A1C">
      <w:rPr>
        <w:rFonts w:ascii="Tw Cen MT" w:hAnsi="Tw Cen MT"/>
        <w:b/>
        <w:color w:val="E35205"/>
        <w:sz w:val="20"/>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DE2D4" w14:textId="77777777" w:rsidR="00572440" w:rsidRDefault="00572440" w:rsidP="0057022C">
    <w:pPr>
      <w:pStyle w:val="Footer"/>
      <w:tabs>
        <w:tab w:val="clear" w:pos="4680"/>
        <w:tab w:val="clear" w:pos="9360"/>
        <w:tab w:val="right" w:pos="10800"/>
      </w:tabs>
      <w:ind w:left="-720"/>
      <w:rPr>
        <w:rFonts w:ascii="Tw Cen MT" w:hAnsi="Tw Cen MT"/>
        <w:b/>
        <w:sz w:val="20"/>
        <w:szCs w:val="16"/>
      </w:rPr>
    </w:pPr>
  </w:p>
  <w:p w14:paraId="6113A9F1" w14:textId="04C5148F" w:rsidR="00572440" w:rsidRPr="00253ECD" w:rsidRDefault="00572440" w:rsidP="0057022C">
    <w:pPr>
      <w:pStyle w:val="Footer"/>
      <w:tabs>
        <w:tab w:val="clear" w:pos="4680"/>
      </w:tabs>
      <w:ind w:left="-720"/>
      <w:rPr>
        <w:rFonts w:ascii="Arial" w:hAnsi="Arial" w:cs="Arial"/>
        <w:b/>
        <w:sz w:val="20"/>
        <w:szCs w:val="16"/>
      </w:rPr>
    </w:pPr>
    <w:r w:rsidRPr="00253ECD">
      <w:rPr>
        <w:rFonts w:ascii="Arial" w:hAnsi="Arial" w:cs="Arial"/>
        <w:b/>
        <w:sz w:val="20"/>
        <w:szCs w:val="16"/>
      </w:rPr>
      <w:t>Appendix A</w:t>
    </w:r>
    <w:r w:rsidRPr="00253ECD">
      <w:rPr>
        <w:rFonts w:ascii="Arial" w:hAnsi="Arial" w:cs="Arial"/>
        <w:b/>
        <w:sz w:val="20"/>
        <w:szCs w:val="16"/>
      </w:rPr>
      <w:tab/>
      <w:t xml:space="preserve">Page </w:t>
    </w:r>
    <w:r w:rsidRPr="00253ECD">
      <w:rPr>
        <w:rFonts w:ascii="Arial" w:hAnsi="Arial" w:cs="Arial"/>
        <w:b/>
        <w:sz w:val="20"/>
        <w:szCs w:val="16"/>
      </w:rPr>
      <w:fldChar w:fldCharType="begin"/>
    </w:r>
    <w:r w:rsidRPr="00253ECD">
      <w:rPr>
        <w:rFonts w:ascii="Arial" w:hAnsi="Arial" w:cs="Arial"/>
        <w:b/>
        <w:sz w:val="20"/>
        <w:szCs w:val="16"/>
      </w:rPr>
      <w:instrText xml:space="preserve"> PAGE </w:instrText>
    </w:r>
    <w:r w:rsidRPr="00253ECD">
      <w:rPr>
        <w:rFonts w:ascii="Arial" w:hAnsi="Arial" w:cs="Arial"/>
        <w:b/>
        <w:sz w:val="20"/>
        <w:szCs w:val="16"/>
      </w:rPr>
      <w:fldChar w:fldCharType="separate"/>
    </w:r>
    <w:r w:rsidR="002A6DCB" w:rsidRPr="00253ECD">
      <w:rPr>
        <w:rFonts w:ascii="Arial" w:hAnsi="Arial" w:cs="Arial"/>
        <w:b/>
        <w:noProof/>
        <w:sz w:val="20"/>
        <w:szCs w:val="16"/>
      </w:rPr>
      <w:t>1</w:t>
    </w:r>
    <w:r w:rsidRPr="00253ECD">
      <w:rPr>
        <w:rFonts w:ascii="Arial" w:hAnsi="Arial" w:cs="Arial"/>
        <w:b/>
        <w:sz w:val="20"/>
        <w:szCs w:val="16"/>
      </w:rPr>
      <w:fldChar w:fldCharType="end"/>
    </w:r>
    <w:r w:rsidRPr="00253ECD">
      <w:rPr>
        <w:rFonts w:ascii="Arial" w:hAnsi="Arial" w:cs="Arial"/>
        <w:b/>
        <w:sz w:val="20"/>
        <w:szCs w:val="16"/>
      </w:rPr>
      <w:t xml:space="preserve"> of </w:t>
    </w:r>
    <w:r w:rsidRPr="00253ECD">
      <w:rPr>
        <w:rFonts w:ascii="Arial" w:hAnsi="Arial" w:cs="Arial"/>
        <w:b/>
        <w:sz w:val="20"/>
        <w:szCs w:val="16"/>
      </w:rPr>
      <w:fldChar w:fldCharType="begin"/>
    </w:r>
    <w:r w:rsidRPr="00253ECD">
      <w:rPr>
        <w:rFonts w:ascii="Arial" w:hAnsi="Arial" w:cs="Arial"/>
        <w:b/>
        <w:sz w:val="20"/>
        <w:szCs w:val="16"/>
      </w:rPr>
      <w:instrText xml:space="preserve"> SECTIONPAGES  </w:instrText>
    </w:r>
    <w:r w:rsidRPr="00253ECD">
      <w:rPr>
        <w:rFonts w:ascii="Arial" w:hAnsi="Arial" w:cs="Arial"/>
        <w:b/>
        <w:sz w:val="20"/>
        <w:szCs w:val="16"/>
      </w:rPr>
      <w:fldChar w:fldCharType="separate"/>
    </w:r>
    <w:r w:rsidR="00253ECD">
      <w:rPr>
        <w:rFonts w:ascii="Arial" w:hAnsi="Arial" w:cs="Arial"/>
        <w:b/>
        <w:noProof/>
        <w:sz w:val="20"/>
        <w:szCs w:val="16"/>
      </w:rPr>
      <w:t>1</w:t>
    </w:r>
    <w:r w:rsidRPr="00253ECD">
      <w:rPr>
        <w:rFonts w:ascii="Arial" w:hAnsi="Arial" w:cs="Arial"/>
        <w:b/>
        <w:sz w:val="20"/>
        <w:szCs w:val="16"/>
      </w:rPr>
      <w:fldChar w:fldCharType="end"/>
    </w:r>
  </w:p>
  <w:p w14:paraId="4A6B74F7" w14:textId="77777777" w:rsidR="00572440" w:rsidRPr="00253ECD" w:rsidRDefault="00572440">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84B4A" w14:textId="77777777" w:rsidR="008A570A" w:rsidRDefault="008A570A" w:rsidP="00D212FD">
      <w:pPr>
        <w:spacing w:after="0" w:line="240" w:lineRule="auto"/>
      </w:pPr>
      <w:r>
        <w:separator/>
      </w:r>
    </w:p>
  </w:footnote>
  <w:footnote w:type="continuationSeparator" w:id="0">
    <w:p w14:paraId="2982A86A" w14:textId="77777777" w:rsidR="008A570A" w:rsidRDefault="008A570A" w:rsidP="00D212FD">
      <w:pPr>
        <w:spacing w:after="0" w:line="240" w:lineRule="auto"/>
      </w:pPr>
      <w:r>
        <w:continuationSeparator/>
      </w:r>
    </w:p>
  </w:footnote>
  <w:footnote w:type="continuationNotice" w:id="1">
    <w:p w14:paraId="1C55AFEC" w14:textId="77777777" w:rsidR="008A570A" w:rsidRDefault="008A57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E72A9" w14:textId="14CB798D" w:rsidR="00572440" w:rsidRDefault="00572440">
    <w:pPr>
      <w:pStyle w:val="Header"/>
    </w:pPr>
  </w:p>
  <w:p w14:paraId="0CE19E6E" w14:textId="77777777" w:rsidR="00572440" w:rsidRDefault="00572440">
    <w:pPr>
      <w:pStyle w:val="Header"/>
    </w:pPr>
  </w:p>
  <w:p w14:paraId="46879E0E" w14:textId="77777777" w:rsidR="00572440" w:rsidRDefault="00572440">
    <w:pPr>
      <w:pStyle w:val="Header"/>
    </w:pPr>
  </w:p>
  <w:p w14:paraId="5BC74C7C" w14:textId="77777777" w:rsidR="00572440" w:rsidRDefault="00572440">
    <w:pPr>
      <w:pStyle w:val="Header"/>
    </w:pPr>
  </w:p>
  <w:p w14:paraId="07CE233E" w14:textId="6F8EDC4A" w:rsidR="00572440" w:rsidRDefault="00572440" w:rsidP="00F027B4">
    <w:pPr>
      <w:pStyle w:val="Header"/>
      <w:tabs>
        <w:tab w:val="clear" w:pos="9360"/>
        <w:tab w:val="left" w:pos="990"/>
        <w:tab w:val="right" w:pos="10080"/>
      </w:tabs>
    </w:pPr>
    <w:r>
      <w:tab/>
    </w:r>
  </w:p>
  <w:p w14:paraId="0A2AAE1C" w14:textId="77777777" w:rsidR="00572440" w:rsidRDefault="00572440">
    <w:pPr>
      <w:pStyle w:val="Header"/>
    </w:pPr>
  </w:p>
  <w:p w14:paraId="22661E92" w14:textId="77777777" w:rsidR="00572440" w:rsidRDefault="00572440" w:rsidP="00192CC3">
    <w:pPr>
      <w:pStyle w:val="Header"/>
      <w:tabs>
        <w:tab w:val="clear" w:pos="4680"/>
        <w:tab w:val="clear" w:pos="9360"/>
        <w:tab w:val="left" w:pos="712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9E17A" w14:textId="43080019" w:rsidR="0056160A" w:rsidRDefault="005616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39F1" w14:textId="24F88DE9" w:rsidR="0056160A" w:rsidRDefault="005616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24001" w14:textId="612AD3B0" w:rsidR="0056160A" w:rsidRPr="00DC4CE2" w:rsidRDefault="00572440">
    <w:pPr>
      <w:pStyle w:val="Header"/>
      <w:rPr>
        <w:rFonts w:ascii="Arial" w:hAnsi="Arial" w:cs="Arial"/>
        <w:b/>
        <w:sz w:val="20"/>
        <w:szCs w:val="20"/>
      </w:rPr>
    </w:pPr>
    <w:bookmarkStart w:id="4" w:name="AppendixA"/>
    <w:r w:rsidRPr="00DC4CE2">
      <w:rPr>
        <w:rFonts w:ascii="Arial" w:hAnsi="Arial" w:cs="Arial"/>
        <w:b/>
        <w:sz w:val="20"/>
        <w:szCs w:val="20"/>
      </w:rPr>
      <w:t>Appendix A</w:t>
    </w:r>
    <w:bookmarkEnd w:id="4"/>
    <w:r w:rsidRPr="00DC4CE2">
      <w:rPr>
        <w:rFonts w:ascii="Arial" w:hAnsi="Arial" w:cs="Arial"/>
        <w:b/>
        <w:sz w:val="20"/>
        <w:szCs w:val="20"/>
      </w:rPr>
      <w:t>:  SAMPLE SECURITY SOURCES FOR VULNERABILITY/PATCH/THREAT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36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2C26D7"/>
    <w:multiLevelType w:val="hybridMultilevel"/>
    <w:tmpl w:val="801C401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00632"/>
    <w:multiLevelType w:val="hybridMultilevel"/>
    <w:tmpl w:val="91C4A1CE"/>
    <w:lvl w:ilvl="0" w:tplc="0644C49C">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6D2AAC"/>
    <w:multiLevelType w:val="hybridMultilevel"/>
    <w:tmpl w:val="7B2A809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70F30"/>
    <w:multiLevelType w:val="hybridMultilevel"/>
    <w:tmpl w:val="4942EE42"/>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2CF59B8"/>
    <w:multiLevelType w:val="hybridMultilevel"/>
    <w:tmpl w:val="99BAFB5A"/>
    <w:lvl w:ilvl="0" w:tplc="4A32EB2C">
      <w:start w:val="1"/>
      <w:numFmt w:val="decimal"/>
      <w:lvlText w:val="4.%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252F4"/>
    <w:multiLevelType w:val="hybridMultilevel"/>
    <w:tmpl w:val="31B0A25C"/>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EF39F3"/>
    <w:multiLevelType w:val="hybridMultilevel"/>
    <w:tmpl w:val="BFB86C50"/>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5"/>
  </w:num>
  <w:num w:numId="5">
    <w:abstractNumId w:val="10"/>
  </w:num>
  <w:num w:numId="6">
    <w:abstractNumId w:val="15"/>
  </w:num>
  <w:num w:numId="7">
    <w:abstractNumId w:val="20"/>
  </w:num>
  <w:num w:numId="8">
    <w:abstractNumId w:val="27"/>
  </w:num>
  <w:num w:numId="9">
    <w:abstractNumId w:val="21"/>
  </w:num>
  <w:num w:numId="10">
    <w:abstractNumId w:val="28"/>
  </w:num>
  <w:num w:numId="11">
    <w:abstractNumId w:val="11"/>
  </w:num>
  <w:num w:numId="12">
    <w:abstractNumId w:val="19"/>
  </w:num>
  <w:num w:numId="13">
    <w:abstractNumId w:val="25"/>
  </w:num>
  <w:num w:numId="14">
    <w:abstractNumId w:val="33"/>
  </w:num>
  <w:num w:numId="15">
    <w:abstractNumId w:val="22"/>
  </w:num>
  <w:num w:numId="16">
    <w:abstractNumId w:val="32"/>
  </w:num>
  <w:num w:numId="17">
    <w:abstractNumId w:val="14"/>
  </w:num>
  <w:num w:numId="18">
    <w:abstractNumId w:val="3"/>
  </w:num>
  <w:num w:numId="19">
    <w:abstractNumId w:val="16"/>
  </w:num>
  <w:num w:numId="20">
    <w:abstractNumId w:val="4"/>
  </w:num>
  <w:num w:numId="21">
    <w:abstractNumId w:val="31"/>
  </w:num>
  <w:num w:numId="22">
    <w:abstractNumId w:val="0"/>
  </w:num>
  <w:num w:numId="23">
    <w:abstractNumId w:val="18"/>
  </w:num>
  <w:num w:numId="24">
    <w:abstractNumId w:val="13"/>
  </w:num>
  <w:num w:numId="25">
    <w:abstractNumId w:val="5"/>
  </w:num>
  <w:num w:numId="26">
    <w:abstractNumId w:val="22"/>
  </w:num>
  <w:num w:numId="27">
    <w:abstractNumId w:val="2"/>
  </w:num>
  <w:num w:numId="28">
    <w:abstractNumId w:val="23"/>
  </w:num>
  <w:num w:numId="29">
    <w:abstractNumId w:val="23"/>
  </w:num>
  <w:num w:numId="30">
    <w:abstractNumId w:val="1"/>
  </w:num>
  <w:num w:numId="31">
    <w:abstractNumId w:val="30"/>
  </w:num>
  <w:num w:numId="32">
    <w:abstractNumId w:val="26"/>
  </w:num>
  <w:num w:numId="33">
    <w:abstractNumId w:val="17"/>
  </w:num>
  <w:num w:numId="34">
    <w:abstractNumId w:val="12"/>
  </w:num>
  <w:num w:numId="35">
    <w:abstractNumId w:val="9"/>
  </w:num>
  <w:num w:numId="36">
    <w:abstractNumId w:val="24"/>
  </w:num>
  <w:num w:numId="37">
    <w:abstractNumId w:val="3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6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AB0"/>
    <w:rsid w:val="00000C72"/>
    <w:rsid w:val="00004B71"/>
    <w:rsid w:val="000059B7"/>
    <w:rsid w:val="00007B41"/>
    <w:rsid w:val="00015FE5"/>
    <w:rsid w:val="00025AD3"/>
    <w:rsid w:val="0003290F"/>
    <w:rsid w:val="0004473F"/>
    <w:rsid w:val="00064308"/>
    <w:rsid w:val="000649E1"/>
    <w:rsid w:val="00067349"/>
    <w:rsid w:val="00067BF2"/>
    <w:rsid w:val="00077E99"/>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0B57"/>
    <w:rsid w:val="0018190B"/>
    <w:rsid w:val="00192CC3"/>
    <w:rsid w:val="001A0541"/>
    <w:rsid w:val="001A3862"/>
    <w:rsid w:val="001A6527"/>
    <w:rsid w:val="001B13D9"/>
    <w:rsid w:val="001B207D"/>
    <w:rsid w:val="001B335C"/>
    <w:rsid w:val="001B401D"/>
    <w:rsid w:val="001C0D8B"/>
    <w:rsid w:val="001C5A71"/>
    <w:rsid w:val="001D7A64"/>
    <w:rsid w:val="001E1B0C"/>
    <w:rsid w:val="001F609C"/>
    <w:rsid w:val="001F7C69"/>
    <w:rsid w:val="002068B2"/>
    <w:rsid w:val="0021179B"/>
    <w:rsid w:val="00214C00"/>
    <w:rsid w:val="0021650D"/>
    <w:rsid w:val="0022609C"/>
    <w:rsid w:val="002335BD"/>
    <w:rsid w:val="002413AD"/>
    <w:rsid w:val="00253ECD"/>
    <w:rsid w:val="00254F95"/>
    <w:rsid w:val="002657E4"/>
    <w:rsid w:val="0026673E"/>
    <w:rsid w:val="002761BB"/>
    <w:rsid w:val="002830D5"/>
    <w:rsid w:val="002867B4"/>
    <w:rsid w:val="002942ED"/>
    <w:rsid w:val="002A0C29"/>
    <w:rsid w:val="002A365B"/>
    <w:rsid w:val="002A6BF3"/>
    <w:rsid w:val="002A6DCB"/>
    <w:rsid w:val="002A70B4"/>
    <w:rsid w:val="002B4D9E"/>
    <w:rsid w:val="002B57A1"/>
    <w:rsid w:val="002C0F98"/>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0370C"/>
    <w:rsid w:val="004125A6"/>
    <w:rsid w:val="00413ABD"/>
    <w:rsid w:val="00416A9C"/>
    <w:rsid w:val="00423DDD"/>
    <w:rsid w:val="004249B0"/>
    <w:rsid w:val="00426882"/>
    <w:rsid w:val="00431C29"/>
    <w:rsid w:val="004373BC"/>
    <w:rsid w:val="00446B8D"/>
    <w:rsid w:val="00453386"/>
    <w:rsid w:val="0045793A"/>
    <w:rsid w:val="00457F32"/>
    <w:rsid w:val="004612DA"/>
    <w:rsid w:val="00464576"/>
    <w:rsid w:val="00471623"/>
    <w:rsid w:val="00477798"/>
    <w:rsid w:val="004975BC"/>
    <w:rsid w:val="004A12D4"/>
    <w:rsid w:val="004A6140"/>
    <w:rsid w:val="004B746E"/>
    <w:rsid w:val="004C0AB0"/>
    <w:rsid w:val="004C2511"/>
    <w:rsid w:val="004E15AB"/>
    <w:rsid w:val="004E17BE"/>
    <w:rsid w:val="004E1BB5"/>
    <w:rsid w:val="004E34BF"/>
    <w:rsid w:val="004E5C74"/>
    <w:rsid w:val="004F2476"/>
    <w:rsid w:val="0051316D"/>
    <w:rsid w:val="00513F56"/>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72440"/>
    <w:rsid w:val="00587171"/>
    <w:rsid w:val="005A3051"/>
    <w:rsid w:val="005A633B"/>
    <w:rsid w:val="005B231E"/>
    <w:rsid w:val="005B6A55"/>
    <w:rsid w:val="005C69FB"/>
    <w:rsid w:val="005D2516"/>
    <w:rsid w:val="005E153F"/>
    <w:rsid w:val="005E1C90"/>
    <w:rsid w:val="005E3212"/>
    <w:rsid w:val="005F0199"/>
    <w:rsid w:val="005F2D1B"/>
    <w:rsid w:val="00604F92"/>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09C7"/>
    <w:rsid w:val="006B4148"/>
    <w:rsid w:val="006C1883"/>
    <w:rsid w:val="006C3FFD"/>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2F2D"/>
    <w:rsid w:val="007455CF"/>
    <w:rsid w:val="007500C7"/>
    <w:rsid w:val="00751A9A"/>
    <w:rsid w:val="007529BE"/>
    <w:rsid w:val="00752E6C"/>
    <w:rsid w:val="00763DF5"/>
    <w:rsid w:val="0077680E"/>
    <w:rsid w:val="00786A33"/>
    <w:rsid w:val="007911F9"/>
    <w:rsid w:val="00791DDF"/>
    <w:rsid w:val="00794C38"/>
    <w:rsid w:val="007971C2"/>
    <w:rsid w:val="007A618C"/>
    <w:rsid w:val="007B261E"/>
    <w:rsid w:val="007B45AC"/>
    <w:rsid w:val="007B5695"/>
    <w:rsid w:val="007B7F24"/>
    <w:rsid w:val="007C694B"/>
    <w:rsid w:val="007C77C2"/>
    <w:rsid w:val="007E11D6"/>
    <w:rsid w:val="007E20A4"/>
    <w:rsid w:val="007E4717"/>
    <w:rsid w:val="007E7864"/>
    <w:rsid w:val="007F4FB3"/>
    <w:rsid w:val="007F6B0E"/>
    <w:rsid w:val="008105ED"/>
    <w:rsid w:val="00812DEA"/>
    <w:rsid w:val="008137F4"/>
    <w:rsid w:val="00817490"/>
    <w:rsid w:val="00817CF6"/>
    <w:rsid w:val="0082107A"/>
    <w:rsid w:val="008220CB"/>
    <w:rsid w:val="00827E33"/>
    <w:rsid w:val="00835582"/>
    <w:rsid w:val="00840EC8"/>
    <w:rsid w:val="00841EC0"/>
    <w:rsid w:val="00862653"/>
    <w:rsid w:val="00864379"/>
    <w:rsid w:val="00872072"/>
    <w:rsid w:val="008834A0"/>
    <w:rsid w:val="00883EFE"/>
    <w:rsid w:val="00885019"/>
    <w:rsid w:val="008851C5"/>
    <w:rsid w:val="008860CE"/>
    <w:rsid w:val="008923AA"/>
    <w:rsid w:val="00896333"/>
    <w:rsid w:val="008A570A"/>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14D2D"/>
    <w:rsid w:val="00932A1C"/>
    <w:rsid w:val="00934CF3"/>
    <w:rsid w:val="00941C0A"/>
    <w:rsid w:val="009434E7"/>
    <w:rsid w:val="00953454"/>
    <w:rsid w:val="00956FAE"/>
    <w:rsid w:val="0095758B"/>
    <w:rsid w:val="00966FED"/>
    <w:rsid w:val="0096705E"/>
    <w:rsid w:val="00972985"/>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5714"/>
    <w:rsid w:val="00A77647"/>
    <w:rsid w:val="00A96DF2"/>
    <w:rsid w:val="00AB44CE"/>
    <w:rsid w:val="00AB77FE"/>
    <w:rsid w:val="00AC6959"/>
    <w:rsid w:val="00AD178E"/>
    <w:rsid w:val="00AD65E3"/>
    <w:rsid w:val="00AE7C26"/>
    <w:rsid w:val="00AF069C"/>
    <w:rsid w:val="00AF46E6"/>
    <w:rsid w:val="00AF4EA8"/>
    <w:rsid w:val="00B00E5C"/>
    <w:rsid w:val="00B011A2"/>
    <w:rsid w:val="00B01DD3"/>
    <w:rsid w:val="00B03DB2"/>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82EF0"/>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9B"/>
    <w:rsid w:val="00C57773"/>
    <w:rsid w:val="00C73C6D"/>
    <w:rsid w:val="00C83D0F"/>
    <w:rsid w:val="00C94DEB"/>
    <w:rsid w:val="00C97C8F"/>
    <w:rsid w:val="00CA7724"/>
    <w:rsid w:val="00CC7053"/>
    <w:rsid w:val="00CC7981"/>
    <w:rsid w:val="00CD4267"/>
    <w:rsid w:val="00CD7EB7"/>
    <w:rsid w:val="00CE4838"/>
    <w:rsid w:val="00CF278D"/>
    <w:rsid w:val="00CF71F6"/>
    <w:rsid w:val="00D00D2F"/>
    <w:rsid w:val="00D212FD"/>
    <w:rsid w:val="00D328C7"/>
    <w:rsid w:val="00D57CFA"/>
    <w:rsid w:val="00D62A1C"/>
    <w:rsid w:val="00D66285"/>
    <w:rsid w:val="00D712AA"/>
    <w:rsid w:val="00D80277"/>
    <w:rsid w:val="00D913E5"/>
    <w:rsid w:val="00D95237"/>
    <w:rsid w:val="00DA19BB"/>
    <w:rsid w:val="00DA4CF4"/>
    <w:rsid w:val="00DA580C"/>
    <w:rsid w:val="00DA6A93"/>
    <w:rsid w:val="00DA6CC2"/>
    <w:rsid w:val="00DB2FE1"/>
    <w:rsid w:val="00DC4CE2"/>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21071"/>
    <w:rsid w:val="00F274B4"/>
    <w:rsid w:val="00F3027D"/>
    <w:rsid w:val="00F3304A"/>
    <w:rsid w:val="00F402C7"/>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58E"/>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46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4C0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10067954">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metrics/cv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d55d704a-e129-4533-884d-54f902f3d1b0"/>
    <ds:schemaRef ds:uri="http://schemas.microsoft.com/office/2006/metadata/propertie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10047F-AB82-47BB-A688-47212A6A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2019-10-31T18:49:00Z</dcterms:created>
  <dcterms:modified xsi:type="dcterms:W3CDTF">2020-06-11T18:57:00Z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