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5A357B7" w:rsidR="001728DD" w:rsidRPr="002C0B67" w:rsidRDefault="00D168F0" w:rsidP="0040512B">
      <w:pPr>
        <w:spacing w:after="0" w:line="240" w:lineRule="auto"/>
        <w:ind w:left="720" w:hanging="720"/>
        <w:rPr>
          <w:rFonts w:ascii="Arial" w:hAnsi="Arial" w:cs="Arial"/>
          <w:b/>
          <w:sz w:val="40"/>
        </w:rPr>
      </w:pPr>
      <w:r>
        <w:rPr>
          <w:rFonts w:ascii="Arial" w:hAnsi="Arial" w:cs="Arial"/>
          <w:bCs/>
          <w:sz w:val="28"/>
          <w:szCs w:val="28"/>
        </w:rPr>
        <w:t>Mobile Device Security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64E4AF21"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850D7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695293EB" w:rsidR="000F0D07" w:rsidRPr="00B9673C" w:rsidRDefault="00850D7C" w:rsidP="008524D9">
            <w:pPr>
              <w:spacing w:after="0" w:line="240" w:lineRule="auto"/>
              <w:jc w:val="center"/>
              <w:rPr>
                <w:rFonts w:ascii="Arial" w:hAnsi="Arial" w:cs="Arial"/>
                <w:b/>
                <w:sz w:val="36"/>
                <w:szCs w:val="36"/>
              </w:rPr>
            </w:pPr>
            <w:r>
              <w:rPr>
                <w:rFonts w:ascii="Arial" w:hAnsi="Arial" w:cs="Arial"/>
                <w:b/>
                <w:sz w:val="40"/>
                <w:szCs w:val="40"/>
              </w:rPr>
              <w:t>Mobile Device Security</w:t>
            </w:r>
          </w:p>
        </w:tc>
        <w:tc>
          <w:tcPr>
            <w:tcW w:w="4837" w:type="dxa"/>
            <w:vAlign w:val="center"/>
          </w:tcPr>
          <w:p w14:paraId="69D666A1" w14:textId="4F1EF877"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333C4">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4D9E1FBE" w14:textId="4ABB3FCF" w:rsidR="000F0D07" w:rsidRPr="001F6975" w:rsidRDefault="000F0D07" w:rsidP="00A74380">
      <w:pPr>
        <w:pStyle w:val="Heading1"/>
      </w:pPr>
      <w:r w:rsidRPr="001F6975">
        <w:t>2.0 Authority</w:t>
      </w:r>
    </w:p>
    <w:p w14:paraId="4634A90B" w14:textId="3EA54D38" w:rsidR="000F0D07" w:rsidRPr="00341FFE" w:rsidRDefault="000F0D07" w:rsidP="000F0D07">
      <w:pPr>
        <w:pStyle w:val="ParagraphSections"/>
      </w:pPr>
      <w:r w:rsidRPr="00341FFE">
        <w:t xml:space="preserve">This </w:t>
      </w:r>
      <w:r w:rsidR="00D168F0">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067CA550" w:rsidR="000F0D07" w:rsidRPr="0041714C" w:rsidRDefault="000F0D07" w:rsidP="000F0D07">
      <w:pPr>
        <w:pStyle w:val="ParagraphSections"/>
      </w:pPr>
      <w:r w:rsidRPr="0041714C">
        <w:t xml:space="preserve">This </w:t>
      </w:r>
      <w:r w:rsidR="00D168F0">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36B3507E" w:rsidR="000F0D07" w:rsidRPr="0041714C" w:rsidRDefault="000F0D07" w:rsidP="000F0D07">
      <w:pPr>
        <w:pStyle w:val="ParagraphSections"/>
      </w:pPr>
      <w:r w:rsidRPr="0041714C">
        <w:t xml:space="preserve">The </w:t>
      </w:r>
      <w:r w:rsidR="00D168F0">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lastRenderedPageBreak/>
        <w:t>4.0 Information Statement</w:t>
      </w:r>
    </w:p>
    <w:p w14:paraId="27303F2E" w14:textId="599B4CD2" w:rsidR="00D168F0" w:rsidRPr="00BA4AB6" w:rsidRDefault="00D168F0" w:rsidP="00D168F0">
      <w:pPr>
        <w:pStyle w:val="ParagraphSections"/>
      </w:pPr>
      <w:r w:rsidRPr="00BA4AB6">
        <w:t xml:space="preserve">The Mobile Device Security </w:t>
      </w:r>
      <w:r>
        <w:t>Standard</w:t>
      </w:r>
      <w:r w:rsidRPr="00BA4AB6">
        <w:t xml:space="preserve"> establishes necessary protections for mobile devices that access or store organizational information, addressing the heightened risks associated with their use. This policy applies to all employees, contractors, and third-party vendors, covering both entity-issued and personal devices. It mandates the implementation of encryption, approved applications, authentication protocols, and centralized device management to mitigate security threats. Users are responsible for adhering to these guidelines to ensure the confidentiality, integrity, and availability of sensitive information. Non-compliance may result in disciplinary actions, reinforcing the organization's commitment to safeguarding its information assets.</w:t>
      </w:r>
    </w:p>
    <w:p w14:paraId="00F47D97" w14:textId="77777777" w:rsidR="00D168F0" w:rsidRDefault="00D168F0" w:rsidP="00D168F0">
      <w:pPr>
        <w:pStyle w:val="InfoSections"/>
      </w:pPr>
      <w:r w:rsidRPr="003C5696">
        <w:t>Mobile Device Definition</w:t>
      </w:r>
    </w:p>
    <w:p w14:paraId="3E82ADF9" w14:textId="77777777" w:rsidR="00D168F0" w:rsidRDefault="00D168F0" w:rsidP="00D168F0">
      <w:pPr>
        <w:pStyle w:val="ParagraphSections"/>
      </w:pPr>
      <w:r w:rsidRPr="003C5696">
        <w:t xml:space="preserve">Mobile devices are computing devices in a small form factor that have at least one network connection interface, non-removable and/or removable storage, and </w:t>
      </w:r>
      <w:proofErr w:type="gramStart"/>
      <w:r w:rsidRPr="003C5696">
        <w:t>is</w:t>
      </w:r>
      <w:proofErr w:type="gramEnd"/>
      <w:r w:rsidRPr="003C5696">
        <w:t xml:space="preserve"> portable (i.e., non-stationary). These devices come in the forms such as: smartphones, PDAs, smart watches, tablets, laptops, and wearable devices. Mobile devices must follow all requirements of the Information Security Policy.</w:t>
      </w:r>
    </w:p>
    <w:p w14:paraId="3658F211" w14:textId="77777777" w:rsidR="00D168F0" w:rsidRDefault="00D168F0" w:rsidP="00D168F0">
      <w:pPr>
        <w:pStyle w:val="InfoSections"/>
      </w:pPr>
      <w:r w:rsidRPr="003C5696">
        <w:t>Device Encryption</w:t>
      </w:r>
    </w:p>
    <w:p w14:paraId="0D4B357E" w14:textId="77777777" w:rsidR="00D168F0" w:rsidRDefault="00D168F0" w:rsidP="00D168F0">
      <w:pPr>
        <w:pStyle w:val="ParagraphSections"/>
      </w:pPr>
      <w:r w:rsidRPr="003C5696">
        <w:t>As per the Encryption Standard, all mobile devices that access or contain any entity information must be encrypted.</w:t>
      </w:r>
    </w:p>
    <w:p w14:paraId="194FE8E9" w14:textId="77777777" w:rsidR="00D168F0" w:rsidRDefault="00D168F0" w:rsidP="00D168F0">
      <w:pPr>
        <w:pStyle w:val="InfoSections"/>
      </w:pPr>
      <w:r w:rsidRPr="003C5696">
        <w:t>Approved Applications</w:t>
      </w:r>
    </w:p>
    <w:p w14:paraId="29A6E6B9" w14:textId="77777777" w:rsidR="00D168F0" w:rsidRDefault="00D168F0" w:rsidP="00D168F0">
      <w:pPr>
        <w:pStyle w:val="ParagraphSections"/>
      </w:pPr>
      <w:r w:rsidRPr="003C5696">
        <w:t xml:space="preserve">For entity issued mobile devices or personal mobile devices with direct access to managed networks, only those applications which are approved may be installed and or run on the mobile devices.  Applications must be restricted </w:t>
      </w:r>
      <w:proofErr w:type="gramStart"/>
      <w:r w:rsidRPr="003C5696">
        <w:t>through the use of</w:t>
      </w:r>
      <w:proofErr w:type="gramEnd"/>
      <w:r w:rsidRPr="003C5696">
        <w:t xml:space="preserve"> whitelisting (preferable) or blacklisting.  Applications must be digitally signed to ensure that only applications from trusted entities are installed on the device and that code has not been modified.</w:t>
      </w:r>
    </w:p>
    <w:p w14:paraId="02EE03E7" w14:textId="77777777" w:rsidR="00D168F0" w:rsidRDefault="00D168F0" w:rsidP="00D168F0">
      <w:pPr>
        <w:pStyle w:val="InfoSections"/>
      </w:pPr>
      <w:r w:rsidRPr="003C5696">
        <w:t>Authentication Lockout</w:t>
      </w:r>
    </w:p>
    <w:p w14:paraId="00186D58" w14:textId="77777777" w:rsidR="00D168F0" w:rsidRDefault="00D168F0" w:rsidP="00D168F0">
      <w:pPr>
        <w:pStyle w:val="ParagraphSections"/>
      </w:pPr>
      <w:r w:rsidRPr="003C5696">
        <w:t>Entity information must be removed or rendered inaccessible from mobile devices after no more than 10 incorrect authentication attempts.</w:t>
      </w:r>
    </w:p>
    <w:p w14:paraId="442773D5" w14:textId="77777777" w:rsidR="00D168F0" w:rsidRDefault="00D168F0" w:rsidP="00D168F0">
      <w:pPr>
        <w:pStyle w:val="InfoSections"/>
      </w:pPr>
      <w:r w:rsidRPr="003C5696">
        <w:t>Idle Lockout</w:t>
      </w:r>
    </w:p>
    <w:p w14:paraId="389378F5" w14:textId="77777777" w:rsidR="00D168F0" w:rsidRDefault="00D168F0" w:rsidP="00D168F0">
      <w:pPr>
        <w:pStyle w:val="ParagraphSections"/>
      </w:pPr>
      <w:r w:rsidRPr="003C5696">
        <w:t>Mobile devices must automatically lock after being idle for a period not to exceed 10 minutes.</w:t>
      </w:r>
    </w:p>
    <w:p w14:paraId="0C941BF5" w14:textId="77777777" w:rsidR="00D168F0" w:rsidRDefault="00D168F0" w:rsidP="00D168F0">
      <w:pPr>
        <w:pStyle w:val="InfoSections"/>
      </w:pPr>
      <w:r w:rsidRPr="003C5696">
        <w:t>Network Access</w:t>
      </w:r>
    </w:p>
    <w:p w14:paraId="29014E63" w14:textId="77777777" w:rsidR="00D168F0" w:rsidRDefault="00D168F0" w:rsidP="00D168F0">
      <w:pPr>
        <w:pStyle w:val="Bullets"/>
        <w:numPr>
          <w:ilvl w:val="0"/>
          <w:numId w:val="92"/>
        </w:numPr>
      </w:pPr>
      <w:r>
        <w:t xml:space="preserve">Mobile devices which directly connect to managed private networks, virtually connect to managed private networks in a manner consistent with a directly connected device, or which contain or could contain information, including e-mail </w:t>
      </w:r>
      <w:r>
        <w:lastRenderedPageBreak/>
        <w:t xml:space="preserve">data, must be managed by </w:t>
      </w:r>
      <w:proofErr w:type="gramStart"/>
      <w:r>
        <w:t>a Mobile</w:t>
      </w:r>
      <w:proofErr w:type="gramEnd"/>
      <w:r>
        <w:t xml:space="preserve"> Device Management (MDM) or other centralized management solution.</w:t>
      </w:r>
    </w:p>
    <w:p w14:paraId="3228F146" w14:textId="77777777" w:rsidR="00D168F0" w:rsidRDefault="00D168F0" w:rsidP="00D168F0">
      <w:pPr>
        <w:pStyle w:val="Bullets"/>
        <w:numPr>
          <w:ilvl w:val="0"/>
          <w:numId w:val="92"/>
        </w:numPr>
        <w:spacing w:after="200"/>
      </w:pPr>
      <w:r>
        <w:t>Mobile devices may not access private networks unless their operating environment integrity is verified (including whether the device has been rooted/jailbroken).</w:t>
      </w:r>
    </w:p>
    <w:p w14:paraId="67BCE4F1" w14:textId="77777777" w:rsidR="00D168F0" w:rsidRDefault="00D168F0" w:rsidP="00D168F0">
      <w:pPr>
        <w:pStyle w:val="InfoSections"/>
      </w:pPr>
      <w:r w:rsidRPr="003C5696">
        <w:t>Device Backups</w:t>
      </w:r>
    </w:p>
    <w:p w14:paraId="54A7DB93" w14:textId="77777777" w:rsidR="00D168F0" w:rsidRDefault="00D168F0" w:rsidP="00D168F0">
      <w:pPr>
        <w:pStyle w:val="ParagraphSections"/>
      </w:pPr>
      <w:r w:rsidRPr="003C5696">
        <w:t>Use of synchronization services, such as backups, for mobile devices (e.g., local device synchronization, remote synchronization services, and websites) must be controlled through an MDM or other centralized management solution.</w:t>
      </w:r>
    </w:p>
    <w:p w14:paraId="469F7111" w14:textId="77777777" w:rsidR="00D168F0" w:rsidRDefault="00D168F0" w:rsidP="00D168F0">
      <w:pPr>
        <w:pStyle w:val="InfoSections"/>
      </w:pPr>
      <w:r w:rsidRPr="003C5696">
        <w:t>Device Management</w:t>
      </w:r>
    </w:p>
    <w:p w14:paraId="7C1519B9" w14:textId="31F48C85" w:rsidR="00D168F0" w:rsidRDefault="00D168F0" w:rsidP="00D168F0">
      <w:pPr>
        <w:pStyle w:val="ParagraphSections"/>
      </w:pPr>
      <w:r>
        <w:t xml:space="preserve">The </w:t>
      </w:r>
      <w:sdt>
        <w:sdtPr>
          <w:alias w:val="Policy Owner"/>
          <w:tag w:val="Policy Owner"/>
          <w:id w:val="1083805867"/>
          <w:placeholder>
            <w:docPart w:val="CF088F347DA64A4E9C508F3A19F64F5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Manage all mobile devices by:</w:t>
      </w:r>
    </w:p>
    <w:p w14:paraId="302A005A" w14:textId="77777777" w:rsidR="00D168F0" w:rsidRPr="003C5696" w:rsidRDefault="00D168F0" w:rsidP="00D168F0">
      <w:pPr>
        <w:pStyle w:val="Bullets"/>
        <w:numPr>
          <w:ilvl w:val="0"/>
          <w:numId w:val="93"/>
        </w:numPr>
      </w:pPr>
      <w:r w:rsidRPr="003C5696">
        <w:t>Implementing device policies and configurations as appropriate to the use of the device.</w:t>
      </w:r>
    </w:p>
    <w:p w14:paraId="565C4F0A" w14:textId="77777777" w:rsidR="00D168F0" w:rsidRPr="003C5696" w:rsidRDefault="00D168F0" w:rsidP="00D168F0">
      <w:pPr>
        <w:pStyle w:val="Bullets"/>
        <w:numPr>
          <w:ilvl w:val="0"/>
          <w:numId w:val="93"/>
        </w:numPr>
      </w:pPr>
      <w:r w:rsidRPr="003C5696">
        <w:t xml:space="preserve">Developing and implementing processes which check for upgrades and patches to the software components, and for appropriately acquiring, testing, and deploying the updates to entity issued devices. </w:t>
      </w:r>
    </w:p>
    <w:p w14:paraId="2E512460" w14:textId="77777777" w:rsidR="00D168F0" w:rsidRPr="003C5696" w:rsidRDefault="00D168F0" w:rsidP="00D168F0">
      <w:pPr>
        <w:pStyle w:val="Bullets"/>
        <w:numPr>
          <w:ilvl w:val="0"/>
          <w:numId w:val="93"/>
        </w:numPr>
      </w:pPr>
      <w:r w:rsidRPr="003C5696">
        <w:t xml:space="preserve">Reconfiguring access control features as needed based on factors such as policy changes, technology changes, audit findings, and new security needs. </w:t>
      </w:r>
    </w:p>
    <w:p w14:paraId="79ED465F" w14:textId="77777777" w:rsidR="00D168F0" w:rsidRPr="003C5696" w:rsidRDefault="00D168F0" w:rsidP="00D168F0">
      <w:pPr>
        <w:pStyle w:val="Bullets"/>
        <w:numPr>
          <w:ilvl w:val="0"/>
          <w:numId w:val="93"/>
        </w:numPr>
      </w:pPr>
      <w:r w:rsidRPr="003C5696">
        <w:t xml:space="preserve">Detecting and documenting </w:t>
      </w:r>
      <w:proofErr w:type="gramStart"/>
      <w:r w:rsidRPr="003C5696">
        <w:t>anomalies which</w:t>
      </w:r>
      <w:proofErr w:type="gramEnd"/>
      <w:r w:rsidRPr="003C5696">
        <w:t xml:space="preserve"> may indicate malicious activity or deviations from policy and procedures. Anomalies should be reported to other systems’ administrators as appropriate. </w:t>
      </w:r>
    </w:p>
    <w:p w14:paraId="24BA500A" w14:textId="519EF275" w:rsidR="00D168F0" w:rsidRPr="00D168F0" w:rsidRDefault="00D168F0" w:rsidP="00D168F0">
      <w:pPr>
        <w:pStyle w:val="Bullets"/>
        <w:numPr>
          <w:ilvl w:val="0"/>
          <w:numId w:val="93"/>
        </w:numPr>
      </w:pPr>
      <w:r w:rsidRPr="003C5696">
        <w:t>Providing training and awareness activities for mobile device users on threats and recommended security practices which can be incorporated into the entity’s security and awareness training.</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w:t>
      </w:r>
      <w:r w:rsidRPr="00536AF5">
        <w:lastRenderedPageBreak/>
        <w:t xml:space="preserve">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6494BC6" w14:textId="6180D68F" w:rsidR="00D125D6" w:rsidRPr="002D483D" w:rsidRDefault="00D168F0" w:rsidP="00D168F0">
      <w:r>
        <w:rPr>
          <w:rFonts w:ascii="Arial" w:hAnsi="Arial" w:cs="Arial"/>
          <w:sz w:val="24"/>
          <w:szCs w:val="24"/>
        </w:rPr>
        <w:fldChar w:fldCharType="begin"/>
      </w:r>
      <w:r>
        <w:rPr>
          <w:rFonts w:ascii="Arial" w:hAnsi="Arial" w:cs="Arial"/>
          <w:sz w:val="24"/>
          <w:szCs w:val="24"/>
        </w:rPr>
        <w:instrText>HYPERLINK "https://csrc.nist.gov/pubs/sp/800/124/r2/final" \t "_blank"</w:instrText>
      </w:r>
      <w:r>
        <w:rPr>
          <w:rFonts w:ascii="Arial" w:hAnsi="Arial" w:cs="Arial"/>
          <w:sz w:val="24"/>
          <w:szCs w:val="24"/>
        </w:rPr>
      </w:r>
      <w:r>
        <w:rPr>
          <w:rFonts w:ascii="Arial" w:hAnsi="Arial" w:cs="Arial"/>
          <w:sz w:val="24"/>
          <w:szCs w:val="24"/>
        </w:rPr>
        <w:fldChar w:fldCharType="separate"/>
      </w:r>
      <w:r w:rsidRPr="003C5696">
        <w:rPr>
          <w:rStyle w:val="Hyperlink"/>
          <w:rFonts w:ascii="Arial" w:hAnsi="Arial" w:cs="Arial"/>
          <w:sz w:val="24"/>
          <w:szCs w:val="24"/>
        </w:rPr>
        <w:t>NIST Special Publication 800-124, Guidelines for Managing and Securing Mobile Devices in the Enterprise</w:t>
      </w:r>
      <w:r>
        <w:rPr>
          <w:rFonts w:ascii="Arial" w:hAnsi="Arial" w:cs="Arial"/>
          <w:sz w:val="24"/>
          <w:szCs w:val="24"/>
        </w:rPr>
        <w:fldChar w:fldCharType="end"/>
      </w: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CBDC1" w14:textId="77777777" w:rsidR="00B804D4" w:rsidRDefault="00B804D4" w:rsidP="001728DD">
      <w:pPr>
        <w:spacing w:after="0" w:line="240" w:lineRule="auto"/>
      </w:pPr>
      <w:r>
        <w:separator/>
      </w:r>
    </w:p>
  </w:endnote>
  <w:endnote w:type="continuationSeparator" w:id="0">
    <w:p w14:paraId="66484CFC" w14:textId="77777777" w:rsidR="00B804D4" w:rsidRDefault="00B804D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888D8B8" w:rsidR="00F45B92" w:rsidRPr="001C71E4" w:rsidRDefault="00D168F0">
    <w:pPr>
      <w:pStyle w:val="Footer"/>
      <w:rPr>
        <w:rFonts w:ascii="Arial" w:hAnsi="Arial" w:cs="Arial"/>
        <w:b/>
        <w:sz w:val="20"/>
        <w:szCs w:val="16"/>
      </w:rPr>
    </w:pPr>
    <w:r>
      <w:rPr>
        <w:rFonts w:ascii="Arial" w:hAnsi="Arial" w:cs="Arial"/>
        <w:b/>
        <w:sz w:val="20"/>
        <w:szCs w:val="16"/>
      </w:rPr>
      <w:t>Mobile Device Security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4</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5CC5E" w14:textId="77777777" w:rsidR="00B804D4" w:rsidRDefault="00B804D4" w:rsidP="001728DD">
      <w:pPr>
        <w:spacing w:after="0" w:line="240" w:lineRule="auto"/>
      </w:pPr>
      <w:r>
        <w:separator/>
      </w:r>
    </w:p>
  </w:footnote>
  <w:footnote w:type="continuationSeparator" w:id="0">
    <w:p w14:paraId="6B1168CA" w14:textId="77777777" w:rsidR="00B804D4" w:rsidRDefault="00B804D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0"/>
  </w:num>
  <w:num w:numId="2" w16cid:durableId="1720590224">
    <w:abstractNumId w:val="91"/>
  </w:num>
  <w:num w:numId="3" w16cid:durableId="1117681564">
    <w:abstractNumId w:val="14"/>
  </w:num>
  <w:num w:numId="4" w16cid:durableId="22899870">
    <w:abstractNumId w:val="48"/>
  </w:num>
  <w:num w:numId="5" w16cid:durableId="594897494">
    <w:abstractNumId w:val="40"/>
  </w:num>
  <w:num w:numId="6" w16cid:durableId="1118791430">
    <w:abstractNumId w:val="86"/>
  </w:num>
  <w:num w:numId="7" w16cid:durableId="906500447">
    <w:abstractNumId w:val="1"/>
  </w:num>
  <w:num w:numId="8" w16cid:durableId="604532487">
    <w:abstractNumId w:val="7"/>
  </w:num>
  <w:num w:numId="9" w16cid:durableId="1376393224">
    <w:abstractNumId w:val="32"/>
  </w:num>
  <w:num w:numId="10" w16cid:durableId="432746525">
    <w:abstractNumId w:val="85"/>
  </w:num>
  <w:num w:numId="11" w16cid:durableId="1019740546">
    <w:abstractNumId w:val="8"/>
  </w:num>
  <w:num w:numId="12" w16cid:durableId="266739948">
    <w:abstractNumId w:val="47"/>
  </w:num>
  <w:num w:numId="13" w16cid:durableId="157355603">
    <w:abstractNumId w:val="36"/>
  </w:num>
  <w:num w:numId="14" w16cid:durableId="1820656487">
    <w:abstractNumId w:val="55"/>
  </w:num>
  <w:num w:numId="15" w16cid:durableId="651760037">
    <w:abstractNumId w:val="25"/>
  </w:num>
  <w:num w:numId="16" w16cid:durableId="249898313">
    <w:abstractNumId w:val="9"/>
  </w:num>
  <w:num w:numId="17" w16cid:durableId="652107625">
    <w:abstractNumId w:val="12"/>
  </w:num>
  <w:num w:numId="18" w16cid:durableId="2014717049">
    <w:abstractNumId w:val="69"/>
  </w:num>
  <w:num w:numId="19" w16cid:durableId="202523">
    <w:abstractNumId w:val="13"/>
  </w:num>
  <w:num w:numId="20" w16cid:durableId="552279996">
    <w:abstractNumId w:val="28"/>
  </w:num>
  <w:num w:numId="21" w16cid:durableId="1149128982">
    <w:abstractNumId w:val="53"/>
  </w:num>
  <w:num w:numId="22" w16cid:durableId="1534616722">
    <w:abstractNumId w:val="33"/>
  </w:num>
  <w:num w:numId="23" w16cid:durableId="914583706">
    <w:abstractNumId w:val="21"/>
  </w:num>
  <w:num w:numId="24" w16cid:durableId="1558393621">
    <w:abstractNumId w:val="83"/>
  </w:num>
  <w:num w:numId="25" w16cid:durableId="1740861476">
    <w:abstractNumId w:val="78"/>
  </w:num>
  <w:num w:numId="26" w16cid:durableId="888225309">
    <w:abstractNumId w:val="11"/>
  </w:num>
  <w:num w:numId="27" w16cid:durableId="1888758663">
    <w:abstractNumId w:val="18"/>
  </w:num>
  <w:num w:numId="28" w16cid:durableId="1416628506">
    <w:abstractNumId w:val="61"/>
  </w:num>
  <w:num w:numId="29" w16cid:durableId="1011955716">
    <w:abstractNumId w:val="30"/>
  </w:num>
  <w:num w:numId="30" w16cid:durableId="1268152441">
    <w:abstractNumId w:val="3"/>
  </w:num>
  <w:num w:numId="31" w16cid:durableId="1653754296">
    <w:abstractNumId w:val="64"/>
  </w:num>
  <w:num w:numId="32" w16cid:durableId="2079671104">
    <w:abstractNumId w:val="46"/>
  </w:num>
  <w:num w:numId="33" w16cid:durableId="954139192">
    <w:abstractNumId w:val="57"/>
  </w:num>
  <w:num w:numId="34" w16cid:durableId="831287970">
    <w:abstractNumId w:val="90"/>
  </w:num>
  <w:num w:numId="35" w16cid:durableId="261764340">
    <w:abstractNumId w:val="51"/>
  </w:num>
  <w:num w:numId="36" w16cid:durableId="194007453">
    <w:abstractNumId w:val="38"/>
  </w:num>
  <w:num w:numId="37" w16cid:durableId="1207719176">
    <w:abstractNumId w:val="56"/>
  </w:num>
  <w:num w:numId="38" w16cid:durableId="657001351">
    <w:abstractNumId w:val="89"/>
  </w:num>
  <w:num w:numId="39" w16cid:durableId="372313555">
    <w:abstractNumId w:val="19"/>
  </w:num>
  <w:num w:numId="40" w16cid:durableId="832767206">
    <w:abstractNumId w:val="23"/>
  </w:num>
  <w:num w:numId="41" w16cid:durableId="1348753364">
    <w:abstractNumId w:val="35"/>
  </w:num>
  <w:num w:numId="42" w16cid:durableId="1134833004">
    <w:abstractNumId w:val="54"/>
  </w:num>
  <w:num w:numId="43" w16cid:durableId="297497455">
    <w:abstractNumId w:val="29"/>
  </w:num>
  <w:num w:numId="44" w16cid:durableId="944457216">
    <w:abstractNumId w:val="42"/>
  </w:num>
  <w:num w:numId="45" w16cid:durableId="1820608685">
    <w:abstractNumId w:val="71"/>
  </w:num>
  <w:num w:numId="46" w16cid:durableId="847718194">
    <w:abstractNumId w:val="70"/>
  </w:num>
  <w:num w:numId="47" w16cid:durableId="1231648769">
    <w:abstractNumId w:val="0"/>
  </w:num>
  <w:num w:numId="48" w16cid:durableId="350187520">
    <w:abstractNumId w:val="84"/>
  </w:num>
  <w:num w:numId="49" w16cid:durableId="1875851893">
    <w:abstractNumId w:val="74"/>
  </w:num>
  <w:num w:numId="50" w16cid:durableId="1967930772">
    <w:abstractNumId w:val="22"/>
  </w:num>
  <w:num w:numId="51" w16cid:durableId="127866335">
    <w:abstractNumId w:val="63"/>
  </w:num>
  <w:num w:numId="52" w16cid:durableId="1258364761">
    <w:abstractNumId w:val="73"/>
  </w:num>
  <w:num w:numId="53" w16cid:durableId="980156695">
    <w:abstractNumId w:val="87"/>
  </w:num>
  <w:num w:numId="54" w16cid:durableId="710154690">
    <w:abstractNumId w:val="37"/>
  </w:num>
  <w:num w:numId="55" w16cid:durableId="1529874923">
    <w:abstractNumId w:val="41"/>
  </w:num>
  <w:num w:numId="56" w16cid:durableId="1209414341">
    <w:abstractNumId w:val="80"/>
  </w:num>
  <w:num w:numId="57" w16cid:durableId="367223811">
    <w:abstractNumId w:val="92"/>
  </w:num>
  <w:num w:numId="58" w16cid:durableId="1439644382">
    <w:abstractNumId w:val="5"/>
  </w:num>
  <w:num w:numId="59" w16cid:durableId="217590876">
    <w:abstractNumId w:val="15"/>
  </w:num>
  <w:num w:numId="60" w16cid:durableId="583031395">
    <w:abstractNumId w:val="62"/>
  </w:num>
  <w:num w:numId="61" w16cid:durableId="372853380">
    <w:abstractNumId w:val="34"/>
  </w:num>
  <w:num w:numId="62" w16cid:durableId="627592404">
    <w:abstractNumId w:val="39"/>
  </w:num>
  <w:num w:numId="63" w16cid:durableId="1824079280">
    <w:abstractNumId w:val="52"/>
  </w:num>
  <w:num w:numId="64" w16cid:durableId="336688825">
    <w:abstractNumId w:val="88"/>
  </w:num>
  <w:num w:numId="65" w16cid:durableId="505092946">
    <w:abstractNumId w:val="43"/>
  </w:num>
  <w:num w:numId="66" w16cid:durableId="1284917714">
    <w:abstractNumId w:val="58"/>
  </w:num>
  <w:num w:numId="67" w16cid:durableId="723257439">
    <w:abstractNumId w:val="4"/>
  </w:num>
  <w:num w:numId="68" w16cid:durableId="801197653">
    <w:abstractNumId w:val="65"/>
  </w:num>
  <w:num w:numId="69" w16cid:durableId="863861930">
    <w:abstractNumId w:val="67"/>
  </w:num>
  <w:num w:numId="70" w16cid:durableId="673462645">
    <w:abstractNumId w:val="49"/>
  </w:num>
  <w:num w:numId="71" w16cid:durableId="1538197078">
    <w:abstractNumId w:val="59"/>
  </w:num>
  <w:num w:numId="72" w16cid:durableId="958267984">
    <w:abstractNumId w:val="50"/>
  </w:num>
  <w:num w:numId="73" w16cid:durableId="412699127">
    <w:abstractNumId w:val="68"/>
  </w:num>
  <w:num w:numId="74" w16cid:durableId="553392979">
    <w:abstractNumId w:val="79"/>
  </w:num>
  <w:num w:numId="75" w16cid:durableId="1320232317">
    <w:abstractNumId w:val="77"/>
  </w:num>
  <w:num w:numId="76" w16cid:durableId="23870834">
    <w:abstractNumId w:val="81"/>
  </w:num>
  <w:num w:numId="77" w16cid:durableId="186916660">
    <w:abstractNumId w:val="44"/>
  </w:num>
  <w:num w:numId="78" w16cid:durableId="268659981">
    <w:abstractNumId w:val="75"/>
  </w:num>
  <w:num w:numId="79" w16cid:durableId="370687772">
    <w:abstractNumId w:val="76"/>
  </w:num>
  <w:num w:numId="80" w16cid:durableId="2074692537">
    <w:abstractNumId w:val="45"/>
  </w:num>
  <w:num w:numId="81" w16cid:durableId="668097258">
    <w:abstractNumId w:val="72"/>
  </w:num>
  <w:num w:numId="82" w16cid:durableId="844899633">
    <w:abstractNumId w:val="6"/>
  </w:num>
  <w:num w:numId="83" w16cid:durableId="601570139">
    <w:abstractNumId w:val="66"/>
  </w:num>
  <w:num w:numId="84" w16cid:durableId="886255118">
    <w:abstractNumId w:val="17"/>
  </w:num>
  <w:num w:numId="85" w16cid:durableId="1423180347">
    <w:abstractNumId w:val="31"/>
  </w:num>
  <w:num w:numId="86" w16cid:durableId="1918830005">
    <w:abstractNumId w:val="26"/>
  </w:num>
  <w:num w:numId="87" w16cid:durableId="584727103">
    <w:abstractNumId w:val="10"/>
  </w:num>
  <w:num w:numId="88" w16cid:durableId="1893423753">
    <w:abstractNumId w:val="82"/>
  </w:num>
  <w:num w:numId="89" w16cid:durableId="516045994">
    <w:abstractNumId w:val="20"/>
  </w:num>
  <w:num w:numId="90" w16cid:durableId="883642790">
    <w:abstractNumId w:val="27"/>
  </w:num>
  <w:num w:numId="91" w16cid:durableId="1421634944">
    <w:abstractNumId w:val="16"/>
  </w:num>
  <w:num w:numId="92" w16cid:durableId="1182470899">
    <w:abstractNumId w:val="24"/>
  </w:num>
  <w:num w:numId="93" w16cid:durableId="131579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D4A75"/>
    <w:rsid w:val="006F5434"/>
    <w:rsid w:val="0070491D"/>
    <w:rsid w:val="00733936"/>
    <w:rsid w:val="00755890"/>
    <w:rsid w:val="00770A5A"/>
    <w:rsid w:val="00782EBC"/>
    <w:rsid w:val="007838F6"/>
    <w:rsid w:val="007B1AF6"/>
    <w:rsid w:val="007C0EC3"/>
    <w:rsid w:val="007D7C4B"/>
    <w:rsid w:val="007E4CBD"/>
    <w:rsid w:val="00815142"/>
    <w:rsid w:val="008333C4"/>
    <w:rsid w:val="008371AD"/>
    <w:rsid w:val="00840153"/>
    <w:rsid w:val="00850D7C"/>
    <w:rsid w:val="00863761"/>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141B4"/>
    <w:rsid w:val="00B3119B"/>
    <w:rsid w:val="00B45A42"/>
    <w:rsid w:val="00B6456C"/>
    <w:rsid w:val="00B804D4"/>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168F0"/>
    <w:rsid w:val="00D25962"/>
    <w:rsid w:val="00D7091E"/>
    <w:rsid w:val="00D819AD"/>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CF088F347DA64A4E9C508F3A19F64F5C"/>
        <w:category>
          <w:name w:val="General"/>
          <w:gallery w:val="placeholder"/>
        </w:category>
        <w:types>
          <w:type w:val="bbPlcHdr"/>
        </w:types>
        <w:behaviors>
          <w:behavior w:val="content"/>
        </w:behaviors>
        <w:guid w:val="{14F5FEB4-BE17-43B2-9E20-8A7C0FF41AA3}"/>
      </w:docPartPr>
      <w:docPartBody>
        <w:p w:rsidR="00000000" w:rsidRDefault="003F4AD6" w:rsidP="003F4AD6">
          <w:pPr>
            <w:pStyle w:val="CF088F347DA64A4E9C508F3A19F64F5C"/>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834B7"/>
    <w:rsid w:val="006B4796"/>
    <w:rsid w:val="006C5AE9"/>
    <w:rsid w:val="007172CA"/>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D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941ED44A37C494FA988D8EDF0EBFE58">
    <w:name w:val="E941ED44A37C494FA988D8EDF0EBFE58"/>
    <w:rsid w:val="003F4AD6"/>
  </w:style>
  <w:style w:type="paragraph" w:customStyle="1" w:styleId="91CE44D33EE14E3D82D51542438EB92E">
    <w:name w:val="91CE44D33EE14E3D82D51542438EB92E"/>
    <w:rsid w:val="00100C6E"/>
  </w:style>
  <w:style w:type="paragraph" w:customStyle="1" w:styleId="5D1FD0DA3EAD4262AA51A7E4056C736B">
    <w:name w:val="5D1FD0DA3EAD4262AA51A7E4056C736B"/>
    <w:rsid w:val="00100C6E"/>
  </w:style>
  <w:style w:type="paragraph" w:customStyle="1" w:styleId="D5EC91DC80C64FF8A2867B5D02125D46">
    <w:name w:val="D5EC91DC80C64FF8A2867B5D02125D46"/>
    <w:rsid w:val="00100C6E"/>
  </w:style>
  <w:style w:type="paragraph" w:customStyle="1" w:styleId="644C8D317DA3427BA855417CBAAB0870">
    <w:name w:val="644C8D317DA3427BA855417CBAAB0870"/>
    <w:rsid w:val="00100C6E"/>
  </w:style>
  <w:style w:type="paragraph" w:customStyle="1" w:styleId="571AFD9780EA4A97AD1D085D50E3B2FB">
    <w:name w:val="571AFD9780EA4A97AD1D085D50E3B2FB"/>
    <w:rsid w:val="00100C6E"/>
  </w:style>
  <w:style w:type="paragraph" w:customStyle="1" w:styleId="9605A1F9F6904A018D9696EBACF894A6">
    <w:name w:val="9605A1F9F6904A018D9696EBACF894A6"/>
    <w:rsid w:val="003F4AD6"/>
  </w:style>
  <w:style w:type="paragraph" w:customStyle="1" w:styleId="215E7723A4CB4C8E8D225FD72AD924FE">
    <w:name w:val="215E7723A4CB4C8E8D225FD72AD924FE"/>
    <w:rsid w:val="003F4AD6"/>
  </w:style>
  <w:style w:type="paragraph" w:customStyle="1" w:styleId="499B64FE9C1B4525B2DD8FDF87A99B98">
    <w:name w:val="499B64FE9C1B4525B2DD8FDF87A99B98"/>
    <w:rsid w:val="003F4AD6"/>
  </w:style>
  <w:style w:type="paragraph" w:customStyle="1" w:styleId="C207632EDDC34C08A7BD3B9456914C69">
    <w:name w:val="C207632EDDC34C08A7BD3B9456914C69"/>
    <w:rsid w:val="003F4AD6"/>
  </w:style>
  <w:style w:type="paragraph" w:customStyle="1" w:styleId="B016C9F8CD2E4C9A9F031E0260DCFC84">
    <w:name w:val="B016C9F8CD2E4C9A9F031E0260DCFC84"/>
    <w:rsid w:val="003F4AD6"/>
  </w:style>
  <w:style w:type="paragraph" w:customStyle="1" w:styleId="CF088F347DA64A4E9C508F3A19F64F5C">
    <w:name w:val="CF088F347DA64A4E9C508F3A19F64F5C"/>
    <w:rsid w:val="003F4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2024-10-31T21:13:00Z</dcterms:created>
  <dcterms:modified xsi:type="dcterms:W3CDTF">2024-10-31T21:17:00Z</dcterms:modified>
</cp:coreProperties>
</file>