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  <w:jc w:val="center"/>
      </w:pPr>
      <w:r>
        <w:rPr>
          <w:b/>
          <w:bCs/>
          <w:color w:val="1F3864"/>
          <w:sz w:val="40"/>
          <w:szCs w:val="40"/>
        </w:rPr>
        <w:t xml:space="preserve">Next-Tick Signals Across Eurex Bond Futures</w:t>
      </w:r>
    </w:p>
    <w:p>
      <w:pPr>
        <w:spacing w:before="140"/>
        <w:jc w:val="center"/>
      </w:pPr>
      <w:r>
        <w:rPr>
          <w:color w:val="2E5496"/>
          <w:sz w:val="24"/>
          <w:szCs w:val="24"/>
        </w:rPr>
        <w:t xml:space="preserve">A Cross-Instrument Comparison: Bund, Bobl, Buxl, BTP and OAT</w:t>
      </w:r>
    </w:p>
    <w:p>
      <w:pPr>
        <w:spacing w:before="240"/>
        <w:jc w:val="center"/>
      </w:pPr>
      <w:r>
        <w:rPr>
          <w:color w:val="555555"/>
          <w:sz w:val="20"/>
          <w:szCs w:val="20"/>
        </w:rPr>
        <w:t xml:space="preserve">Quantitative Research — Eurex Fixed-Income Futures · June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The same microstructure next-tick model — ninety order-book, trade-flow and cross-instrument features feeding a transparent linear regression — was fitted and evaluated identically across the five core Eurex bond futures. The signal generalises across the curve, with a clear liquidity gradient: it is strongest for the liquid German core (Bund and Bobl) and weaker, though still clearly skilful, for the longer-dated Buxl and the French/Italian contracts. In every case in-sample and out-of-sample performance are close (no over-fitting), and the order-book imbalance is the dominant predictor. The caveats established for Bund apply throughout: the predictability is concentrated at very short, near-mechanical horizons, so these are high-quality directional signals rather than demonstrated trading strategies.</w:t>
      </w:r>
    </w:p>
    <w:p>
      <w:pPr>
        <w:pStyle w:val="Heading1"/>
      </w:pPr>
      <w:r>
        <w:t xml:space="preserve">1. Cross-Instrument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900"/>
        <w:gridCol w:w="940"/>
        <w:gridCol w:w="980"/>
        <w:gridCol w:w="1320"/>
        <w:gridCol w:w="1380"/>
        <w:gridCol w:w="2080"/>
      </w:tblGrid>
      <w:tr>
        <w:trPr>
          <w:tblHeader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d_max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R² in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R² out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Sign-acc in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Sign-acc out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Top-group share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Euro-Bund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0.745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0.733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92.5%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 44%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Euro-Bobl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0.739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0.731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92.2%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 41.8%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Euro-Buxl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0.617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0.644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 55%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Euro-BTP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0.52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83.7%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 57.5%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Euro-OAT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0.496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0.508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82.6%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 54.5%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1. Full-model performance across instruments, in and out of sample. RMSE is omitted as it is in each instrument's own ticks (not comparable). The dominant feature group is the order-book imbalance everywhere.</w:t>
      </w:r>
    </w:p>
    <w:p>
      <w:pPr>
        <w:spacing w:after="120"/>
      </w:pPr>
      <w:r>
        <w:t xml:space="preserve">The ordering tracks liquidity and tick economics: the German core (Bund, Bobl) achieves the highest accuracy and explained variance, the 30-year Buxl sits in the middle, and the French and Italian contracts (OAT, BTP) are the weakest — but all remain well above a coin flip, and all hold up out-of-sample.</w:t>
      </w:r>
    </w:p>
    <w:p>
      <w:pPr>
        <w:pStyle w:val="Heading1"/>
      </w:pPr>
      <w:r>
        <w:t xml:space="preserve">2. Per-Instrument Summaries</w:t>
      </w:r>
    </w:p>
    <w:p>
      <w:pPr>
        <w:spacing w:after="120"/>
      </w:pPr>
      <w:r>
        <w:t xml:space="preserve">Each instrument is summarised below with its single-feature correlations (importance) and its book-versus-signal behaviour. Full standalone reports are available per instrument.</w:t>
      </w:r>
    </w:p>
    <w:p>
      <w:pPr>
        <w:pStyle w:val="Heading2"/>
      </w:pPr>
      <w:r>
        <w:t xml:space="preserve">2.1 Euro-Bund (FGBL)</w:t>
      </w:r>
    </w:p>
    <w:p>
      <w:pPr>
        <w:spacing w:after="120"/>
      </w:pPr>
      <w:r>
        <w:rPr>
          <w:b/>
          <w:bCs/>
        </w:rPr>
        <w:t xml:space="preserve">Out-of-sample sign accuracy 92.3%, R² 0.733; in-sample 92.5%. </w:t>
      </w:r>
      <w:r>
        <w:t xml:space="preserve">The order-book imbalance correlates 0.847 with the next-tick target and the order-book imbalance family contributes the largest share (44%) of explained variance. Target: 99.94% one-tick moves; modelled rows 35,60,772 in / 36,49,184 out; d_max 200.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(90) · in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· out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Stepwise (78) · in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Stepwise · out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RMSE (ticks)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0.518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0.745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0.745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0.733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wRMSE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0.413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0.431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0.413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0.431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P×A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0.748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0.748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0.737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wP×A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0.828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0.817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0.828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0.817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92.2%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sign 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95.6%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95.6%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95.3%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92.2%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Precision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92.4%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92.4%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0.923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2. Headline metrics for Euro-Bund — full and stepwise models, in- and out-of-sample (metrics as rows). RMSE is in this instrument's own ticks (not comparable across instruments); “P×A” is the mean product of predicted and realised move, “w” the proximity-weighted variant. Accuracy, precision and recall coincide with sign accuracy to ~3 significant figures given the balanced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 group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Standalone R²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 of explained variance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0.718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Quote-price momentum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0.553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Depth-price momentum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0.47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23.5%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Intraday drift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3.4%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Cross-instrument lead-lag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trade intensity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3. Feature-group contributions for Euro-Bund (in-sample). Standalone R² uses only that family's features; the share splits the model's explained variance fairly across families and sums to 100%.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Keep |signal| &gt;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0.75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1.25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91.6%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81.1%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64.9%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 (out)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95.02%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96.88%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98.16%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98.72%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94.36%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77.15%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4. Cumulative accuracy/coverage by confidence threshold for Euro-Bund (out-of-sample): keeping only events whose signal strength exceeds each threshold — confident signals are more reliable on a smaller share of events.</w:t>
      </w:r>
    </w:p>
    <w:p>
      <w:pPr>
        <w:spacing w:before="80"/>
        <w:jc w:val="center"/>
      </w:pPr>
      <w:r>
        <w:drawing>
          <wp:inline distT="0" distB="0" distL="0" distR="0">
            <wp:extent cx="3619500" cy="4019550"/>
            <wp:effectExtent t="0" r="0" b="0" l="0"/>
            <wp:docPr id="1" name="correlation_bars" descr="correlation_bars" title="correlation_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Figure 1. Euro-Bund: top features by absolute correlation with the next-tick target (in-sample).</w:t>
      </w:r>
    </w:p>
    <w:p>
      <w:pPr>
        <w:spacing w:before="8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signal_price" descr="signal_price" title="signal_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Figure 2. Euro-Bund: best bid/offer and signal price across regimes (rows) and in/out-sample (columns).</w:t>
      </w:r>
    </w:p>
    <w:p>
      <w:r>
        <w:br w:type="page"/>
      </w:r>
    </w:p>
    <w:p>
      <w:pPr>
        <w:pStyle w:val="Heading2"/>
      </w:pPr>
      <w:r>
        <w:t xml:space="preserve">2.2 Euro-Bobl (FGBM)</w:t>
      </w:r>
    </w:p>
    <w:p>
      <w:pPr>
        <w:spacing w:after="120"/>
      </w:pPr>
      <w:r>
        <w:rPr>
          <w:b/>
          <w:bCs/>
        </w:rPr>
        <w:t xml:space="preserve">Out-of-sample sign accuracy 92.3%, R² 0.731; in-sample 92.2%. </w:t>
      </w:r>
      <w:r>
        <w:t xml:space="preserve">The order-book imbalance correlates 0.843 with the next-tick target and the order-book imbalance family contributes the largest share (41.8%) of explained variance. Target: 99.98% one-tick moves; modelled rows 19,16,752 in / 20,35,112 out; d_max 300.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(90) · in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· out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Stepwise (78) · in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Stepwise · out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RMSE (ticks)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0.519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0.731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wRMSE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0.417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0.433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0.417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0.434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P×A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0.735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wP×A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0.813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0.813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92.2%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92.2%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sign 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95.4%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95.1%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95.4%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95.1%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92.2%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92.2%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Precision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92.8%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92.8%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91.9%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91.8%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91.9%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91.8%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0.923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5. Headline metrics for Euro-Bobl — full and stepwise models, in- and out-of-sample (metrics as rows). RMSE is in this instrument's own ticks (not comparable across instruments); “P×A” is the mean product of predicted and realised move, “w” the proximity-weighted variant. Accuracy, precision and recall coincide with sign accuracy to ~3 significant figures given the balanced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 group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Standalone R²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 of explained variance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41.8%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Quote-price momentum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29.4%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Depth-price momentum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24.9%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Intraday drift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Cross-instrument lead-lag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0.019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trade intensity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6. Feature-group contributions for Euro-Bobl (in-sample). Standalone R² uses only that family's features; the share splits the model's explained variance fairly across families and sums to 100%.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Keep |signal| &gt;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0.75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1.25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91.1%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80.2%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65.2%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30.4%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 (out)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95.1%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96.89%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98.01%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98.6%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95.43%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85.74%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7. Cumulative accuracy/coverage by confidence threshold for Euro-Bobl (out-of-sample): keeping only events whose signal strength exceeds each threshold — confident signals are more reliable on a smaller share of events.</w:t>
      </w:r>
    </w:p>
    <w:p>
      <w:pPr>
        <w:spacing w:before="80"/>
        <w:jc w:val="center"/>
      </w:pPr>
      <w:r>
        <w:drawing>
          <wp:inline distT="0" distB="0" distL="0" distR="0">
            <wp:extent cx="3619500" cy="4019550"/>
            <wp:effectExtent t="0" r="0" b="0" l="0"/>
            <wp:docPr id="1" name="correlation_bars" descr="correlation_bars" title="correlation_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Figure 3. Euro-Bobl: top features by absolute correlation with the next-tick target (in-sample).</w:t>
      </w:r>
    </w:p>
    <w:p>
      <w:pPr>
        <w:spacing w:before="8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signal_price" descr="signal_price" title="signal_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Figure 4. Euro-Bobl: best bid/offer and signal price across regimes (rows) and in/out-sample (columns).</w:t>
      </w:r>
    </w:p>
    <w:p>
      <w:r>
        <w:br w:type="page"/>
      </w:r>
    </w:p>
    <w:p>
      <w:pPr>
        <w:pStyle w:val="Heading2"/>
      </w:pPr>
      <w:r>
        <w:t xml:space="preserve">2.3 Euro-Buxl (FGBX)</w:t>
      </w:r>
    </w:p>
    <w:p>
      <w:pPr>
        <w:spacing w:after="120"/>
      </w:pPr>
      <w:r>
        <w:rPr>
          <w:b/>
          <w:bCs/>
        </w:rPr>
        <w:t xml:space="preserve">Out-of-sample sign accuracy 89.3%, R² 0.644; in-sample 88%. </w:t>
      </w:r>
      <w:r>
        <w:t xml:space="preserve">The order-book imbalance correlates 0.779 with the next-tick target and the order-book imbalance family contributes the largest share (55%) of explained variance. Target: 99.97% one-tick moves; modelled rows 18,48,426 in / 18,43,247 out; d_max 200.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(90) · in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· out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Stepwise (70) · in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Stepwise · out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RMSE (ticks)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0.597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0.597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0.644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0.644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wRMSE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0.523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0.523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0.511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P×A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0.649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wP×A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0.712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0.712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0.735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sign 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92.9%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92.9%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Precision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87.8%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89.2%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87.8%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89.2%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88.4%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88.4%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89.5%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0.881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0.893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0.881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0.893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8. Headline metrics for Euro-Buxl — full and stepwise models, in- and out-of-sample (metrics as rows). RMSE is in this instrument's own ticks (not comparable across instruments); “P×A” is the mean product of predicted and realised move, “w” the proximity-weighted variant. Accuracy, precision and recall coincide with sign accuracy to ~3 significant figures given the balanced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 group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Standalone R²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 of explained variance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0.606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Quote-price momentum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0.429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37.9%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Depth-price momentum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0.012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4.4%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Cross-instrument lead-lag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0.025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Intraday drift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trade intensity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9. Feature-group contributions for Euro-Buxl (in-sample). Standalone R² uses only that family's features; the share splits the model's explained variance fairly across families and sums to 100%.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Keep |signal| &gt;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0.75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1.25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87.2%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72.6%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54.1%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26.8%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 (out)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93.27%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95.63%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97.12%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97.95%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94.25%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69.54%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10. Cumulative accuracy/coverage by confidence threshold for Euro-Buxl (out-of-sample): keeping only events whose signal strength exceeds each threshold — confident signals are more reliable on a smaller share of events.</w:t>
      </w:r>
    </w:p>
    <w:p>
      <w:pPr>
        <w:spacing w:before="80"/>
        <w:jc w:val="center"/>
      </w:pPr>
      <w:r>
        <w:drawing>
          <wp:inline distT="0" distB="0" distL="0" distR="0">
            <wp:extent cx="3619500" cy="4019550"/>
            <wp:effectExtent t="0" r="0" b="0" l="0"/>
            <wp:docPr id="1" name="correlation_bars" descr="correlation_bars" title="correlation_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Figure 5. Euro-Buxl: top features by absolute correlation with the next-tick target (in-sample).</w:t>
      </w:r>
    </w:p>
    <w:p>
      <w:pPr>
        <w:spacing w:before="8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signal_price" descr="signal_price" title="signal_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Figure 6. Euro-Buxl: best bid/offer and signal price across regimes (rows) and in/out-sample (columns).</w:t>
      </w:r>
    </w:p>
    <w:p>
      <w:r>
        <w:br w:type="page"/>
      </w:r>
    </w:p>
    <w:p>
      <w:pPr>
        <w:pStyle w:val="Heading2"/>
      </w:pPr>
      <w:r>
        <w:t xml:space="preserve">2.4 Euro-BTP (FBTP)</w:t>
      </w:r>
    </w:p>
    <w:p>
      <w:pPr>
        <w:spacing w:after="120"/>
      </w:pPr>
      <w:r>
        <w:rPr>
          <w:b/>
          <w:bCs/>
        </w:rPr>
        <w:t xml:space="preserve">Out-of-sample sign accuracy 83.5%, R² 0.508; in-sample 83.7%. </w:t>
      </w:r>
      <w:r>
        <w:t xml:space="preserve">The order-book imbalance correlates 0.714 with the next-tick target and the order-book imbalance family contributes the largest share (57.5%) of explained variance. Target: 99.91% one-tick moves; modelled rows 36,96,734 in / 36,61,662 out; d_max 200.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(90) · in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· out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Stepwise (78) · in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Stepwise · out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RMSE (ticks)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0.694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0.703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0.694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0.703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0.508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wRMSE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0.591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0.591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0.605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P×A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0.522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0.522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0.513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wP×A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0.619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0.607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83.7%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83.7%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sign 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88.9%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88.6%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88.9%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88.6%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83.7%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83.7%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Precision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83.3%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83.9%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83.9%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83.9%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83.9%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0.836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11. Headline metrics for Euro-BTP — full and stepwise models, in- and out-of-sample (metrics as rows). RMSE is in this instrument's own ticks (not comparable across instruments); “P×A” is the mean product of predicted and realised move, “w” the proximity-weighted variant. Accuracy, precision and recall coincide with sign accuracy to ~3 significant figures given the balanced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 group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Standalone R²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 of explained variance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57.5%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Quote-price momentum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0.308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33.2%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Depth-price momentum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0.039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7.6%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Cross-instrument lead-lag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trade intensity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Intraday drift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0.005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12. Feature-group contributions for Euro-BTP (in-sample). Standalone R² uses only that family's features; the share splits the model's explained variance fairly across families and sums to 100%.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Keep |signal| &gt;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0.75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1.25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85.1%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66.9%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42.9%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13.7%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 (out)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87.89%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91.61%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94.76%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96.47%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89.51%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73.93%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13. Cumulative accuracy/coverage by confidence threshold for Euro-BTP (out-of-sample): keeping only events whose signal strength exceeds each threshold — confident signals are more reliable on a smaller share of events.</w:t>
      </w:r>
    </w:p>
    <w:p>
      <w:pPr>
        <w:spacing w:before="80"/>
        <w:jc w:val="center"/>
      </w:pPr>
      <w:r>
        <w:drawing>
          <wp:inline distT="0" distB="0" distL="0" distR="0">
            <wp:extent cx="3619500" cy="4019550"/>
            <wp:effectExtent t="0" r="0" b="0" l="0"/>
            <wp:docPr id="1" name="correlation_bars" descr="correlation_bars" title="correlation_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Figure 7. Euro-BTP: top features by absolute correlation with the next-tick target (in-sample).</w:t>
      </w:r>
    </w:p>
    <w:p>
      <w:pPr>
        <w:spacing w:before="8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signal_price" descr="signal_price" title="signal_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Figure 8. Euro-BTP: best bid/offer and signal price across regimes (rows) and in/out-sample (columns).</w:t>
      </w:r>
    </w:p>
    <w:p>
      <w:r>
        <w:br w:type="page"/>
      </w:r>
    </w:p>
    <w:p>
      <w:pPr>
        <w:pStyle w:val="Heading2"/>
      </w:pPr>
      <w:r>
        <w:t xml:space="preserve">2.5 Euro-OAT (FOAT)</w:t>
      </w:r>
    </w:p>
    <w:p>
      <w:pPr>
        <w:spacing w:after="120"/>
      </w:pPr>
      <w:r>
        <w:rPr>
          <w:b/>
          <w:bCs/>
        </w:rPr>
        <w:t xml:space="preserve">Out-of-sample sign accuracy 83.5%, R² 0.508; in-sample 82.6%. </w:t>
      </w:r>
      <w:r>
        <w:t xml:space="preserve">The order-book imbalance correlates 0.694 with the next-tick target and the order-book imbalance family contributes the largest share (54.5%) of explained variance. Target: 99.95% one-tick moves; modelled rows 28,75,278 in / 30,10,048 out; d_max 200.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(90) · in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Full · out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Stepwise (78) · in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Stepwise · out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RMSE (ticks)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0.711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0.702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0.711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0.702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0.496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0.496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0.508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wRMSE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0.603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P×A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0.497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0.497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0.506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wP×A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0.596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0.596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82.6%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82.6%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sign 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88.7%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88.3%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88.7%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82.6%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82.6%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83.5%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Precision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82.2%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83.4%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82.2%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83.3%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83.1%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83.8%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83.1%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83.8%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0.827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0.827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0.836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14. Headline metrics for Euro-OAT — full and stepwise models, in- and out-of-sample (metrics as rows). RMSE is in this instrument's own ticks (not comparable across instruments); “P×A” is the mean product of predicted and realised move, “w” the proximity-weighted variant. Accuracy, precision and recall coincide with sign accuracy to ~3 significant figures given the balanced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 group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Standalone R²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 of explained variance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0.482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54.5%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Quote-price momentum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0.322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Depth-price momentum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0.089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Cross-instrument lead-lag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0.009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trade intensity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0.4%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Intraday drift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15. Feature-group contributions for Euro-OAT (in-sample). Standalone R² uses only that family's features; the share splits the model's explained variance fairly across families and sums to 100%.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Keep |signal| &gt;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0.75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1.25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43.1%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 (out)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87.81%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91.43%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94.57%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95.85%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82.24%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72.03%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16. Cumulative accuracy/coverage by confidence threshold for Euro-OAT (out-of-sample): keeping only events whose signal strength exceeds each threshold — confident signals are more reliable on a smaller share of events.</w:t>
      </w:r>
    </w:p>
    <w:p>
      <w:pPr>
        <w:spacing w:before="80"/>
        <w:jc w:val="center"/>
      </w:pPr>
      <w:r>
        <w:drawing>
          <wp:inline distT="0" distB="0" distL="0" distR="0">
            <wp:extent cx="3619500" cy="4019550"/>
            <wp:effectExtent t="0" r="0" b="0" l="0"/>
            <wp:docPr id="1" name="correlation_bars" descr="correlation_bars" title="correlation_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Figure 9. Euro-OAT: top features by absolute correlation with the next-tick target (in-sample).</w:t>
      </w:r>
    </w:p>
    <w:p>
      <w:pPr>
        <w:spacing w:before="8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signal_price" descr="signal_price" title="signal_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Figure 10. Euro-OAT: best bid/offer and signal price across regimes (rows) and in/out-sample (columns).</w:t>
      </w:r>
    </w:p>
    <w:p>
      <w:pPr>
        <w:pStyle w:val="Heading1"/>
      </w:pPr>
      <w:r>
        <w:t xml:space="preserve">3. Methodology and Caveats</w:t>
      </w:r>
    </w:p>
    <w:p>
      <w:pPr>
        <w:spacing w:after="120"/>
      </w:pPr>
      <w:r>
        <w:t xml:space="preserve">All instruments use an identical pipeline: events are top-of-book changes at a one-tick spread; the target is the signed next settled one-tick move; ninety standardised features feed an unweighted OLS regression (with a bidirectional-stepwise cross-check); estimation and evaluation use five in-sample and five strictly held-out days, one per weekday, over 08:00–17:00 London. Per-instrument the only differences are the target's own book (the modelled instrument), the lead-lag reset reference, the tick size, and the horizon cap (Bobl uses a larger cap to match its stickier mid).</w:t>
      </w:r>
    </w:p>
    <w:p>
      <w:pPr>
        <w:spacing w:after="120"/>
      </w:pPr>
      <w:r>
        <w:rPr>
          <w:b/>
          <w:bCs/>
        </w:rPr>
        <w:t xml:space="preserve">Caveat. </w:t>
      </w:r>
      <w:r>
        <w:t xml:space="preserve">Across every instrument the high accuracy is concentrated at sub-second, near-mechanical horizons; the genuinely forward-looking skill is lower but still clearly above chance. These are calibrated directional signals, not demonstrated strategies — a tradeability assessment netting the bid-offer spread and queue dynamics is the necessary next step.</w:t>
      </w:r>
    </w:p>
    <w:p>
      <w:r>
        <w:br w:type="page"/>
      </w: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A. The six feature families</w:t>
      </w:r>
    </w:p>
    <w:p>
      <w:pPr>
        <w:spacing w:after="120"/>
      </w:pPr>
      <w:r>
        <w:t xml:space="preserve">Ninety features span six families, identical across all instruments in this study. Two are specific to the modelled instrument (its own order-book imbalance and the cross-instrument lead-lag reset); the others are computed across all five instruments, including the modelled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1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imbalance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Top-of-book notional (bid−ask)/(bid+ask), modelled instrument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 trade intensity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Signed trade flow, 5 s decay, all 5 instruments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Quote-price momentum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Top-of-book VWAP vs its EWMA, 5 horizons × 5 instruments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Depth-price momentum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Order-book VWAP at €20M/€50M vs EWMA, 5 horizons × 2 × 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Cross-instrument lead-lag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 4 instruments’ move since the modelled instrument’s last move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Intraday drift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 move since 07:00, all 5 instruments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17. The six feature families (90 features total). “EWMA” denotes an exponentially weighted moving average; the five momentum horizons are half-lives of 1, 5, 10, 30 and 60 seconds. All prices are normalised to ticks.</w:t>
      </w:r>
    </w:p>
    <w:p>
      <w:pPr>
        <w:spacing w:after="120"/>
      </w:pPr>
      <w:r>
        <w:rPr>
          <w:b/>
          <w:bCs/>
        </w:rPr>
        <w:t xml:space="preserve">A note on the depth-price feature (f4). </w:t>
      </w:r>
      <w:r>
        <w:t xml:space="preserve">This measures the volume-weighted price to execute a fixed notional by walking the book. When the visible book cannot fill that size, we do not insert a zero (which would create a catastrophic artificial spike); instead we extrapolate the execution price from the available depth with a 50% spread penalty. This keeps the feature finite and on-scale in every state.</w:t>
      </w:r>
    </w:p>
    <w:p>
      <w:pPr>
        <w:pStyle w:val="Heading2"/>
      </w:pPr>
      <w:r>
        <w:t xml:space="preserve">B. Evaluation metric definitions</w:t>
      </w:r>
    </w:p>
    <w:p>
      <w:pPr>
        <w:spacing w:after="120"/>
      </w:pPr>
      <w:r>
        <w:t xml:space="preserve">Every metric is computed both in-sample and out-of-sample. The model is fitted by unweighted least squares on the raw signed target; the proximity weight (1.0 immediately before a move, decaying to 0.1 at the horizon cap) is an evaluation device only, used in the weighted metrics below to emphasise observations near a move.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 / interpretation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RMSE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Root mean squared error of the predicted move (ticks). Lower is better.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R²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Fraction of target variance explained. 0 = no skill, 1 = perfect.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Accuracy / Precision / Recall / F1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Direction (up vs down) treated as classification.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RMSE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RMSE weighted toward observations nearest the move.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Mean(pred×actual)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product of predicted and realised move. Rewards correctly-signed conviction; does not penalise over-sizing.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mean(pred×actual)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above, weighted toward near-the-move observations.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Fraction of events whose predicted direction is correct.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 sign accuracy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accuracy weighted toward near-the-move observations.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Table 18. Metric definitions. The mean-product metrics reward a strong, correctly-signed signal on a large move without punishing the model for under-sizing it; the weighted variants use the proximity weight. The model itself is fitted by unweighted least squares on the raw signed target — the proximity weight enters only these evaluation metrics, not the fit.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Eurex bond futures next-tick — 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30" w:before="2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90" w:before="180"/>
      <w:outlineLvl w:val="1"/>
    </w:pPr>
    <w:rPr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873bfada86bbbbf4a0e26726e1c3e787cbce735.png"/><Relationship Id="rId9" Type="http://schemas.openxmlformats.org/officeDocument/2006/relationships/image" Target="media/35109a99294c258fda340ad3a653a2534a4f5a8d.png"/><Relationship Id="rId10" Type="http://schemas.openxmlformats.org/officeDocument/2006/relationships/image" Target="media/a30e588c117134b4c45ee9b9a84d108055cdfb05.png"/><Relationship Id="rId11" Type="http://schemas.openxmlformats.org/officeDocument/2006/relationships/image" Target="media/220936394611cb7c12a5ba0c4d0ba1e8eed55f4b.png"/><Relationship Id="rId12" Type="http://schemas.openxmlformats.org/officeDocument/2006/relationships/image" Target="media/dc6889d510df139b36b511eb73d951a4b07c545c.png"/><Relationship Id="rId13" Type="http://schemas.openxmlformats.org/officeDocument/2006/relationships/image" Target="media/697db49307698f95bef66caf4ce9993572272b15.png"/><Relationship Id="rId14" Type="http://schemas.openxmlformats.org/officeDocument/2006/relationships/image" Target="media/ed39d33f47bef419ac29d5f13b89ca593e3b4348.png"/><Relationship Id="rId15" Type="http://schemas.openxmlformats.org/officeDocument/2006/relationships/image" Target="media/fcb69f74ed611c8988aaec939b81c9c87eae517e.png"/><Relationship Id="rId16" Type="http://schemas.openxmlformats.org/officeDocument/2006/relationships/image" Target="media/27ee060efd4638897241c535ba0bb0c8a8b469a1.png"/><Relationship Id="rId17" Type="http://schemas.openxmlformats.org/officeDocument/2006/relationships/image" Target="media/64a5ed9b70e69e6920f2cc1bcc6142b449137d0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2026-06-25T14:37:46.015Z</dcterms:created>
  <dcterms:modified xsi:type="dcterms:W3CDTF">2026-06-25T14:37:46.016Z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