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STAT413</w:t>
      </w:r>
      <w:r>
        <w:t xml:space="preserve"> </w:t>
      </w:r>
      <w:r>
        <w:t xml:space="preserve">HW5</w:t>
      </w:r>
    </w:p>
    <w:p>
      <w:pPr>
        <w:pStyle w:val="SourceCode"/>
      </w:pPr>
      <w:r>
        <w:rPr>
          <w:rStyle w:val="NormalTok"/>
        </w:rPr>
        <w:t xml:space="preserve">Stockreturns </w:t>
      </w:r>
      <w:r>
        <w:rPr>
          <w:rStyle w:val="OtherTok"/>
        </w:rPr>
        <w:t xml:space="preserve">&lt;-</w:t>
      </w:r>
      <w:r>
        <w:rPr>
          <w:rStyle w:val="NormalTok"/>
        </w:rPr>
        <w:t xml:space="preserve"> </w:t>
      </w:r>
      <w:r>
        <w:rPr>
          <w:rStyle w:val="FunctionTok"/>
        </w:rPr>
        <w:t xml:space="preserve">c</w:t>
      </w:r>
      <w:r>
        <w:rPr>
          <w:rStyle w:val="NormalTok"/>
        </w:rPr>
        <w:t xml:space="preserve">(</w:t>
      </w:r>
      <w:r>
        <w:rPr>
          <w:rStyle w:val="SpecialCharTok"/>
        </w:rPr>
        <w:t xml:space="preserve">-</w:t>
      </w:r>
      <w:r>
        <w:rPr>
          <w:rStyle w:val="FloatTok"/>
        </w:rPr>
        <w:t xml:space="preserve">8.36</w:t>
      </w:r>
      <w:r>
        <w:rPr>
          <w:rStyle w:val="NormalTok"/>
        </w:rPr>
        <w:t xml:space="preserve">,   </w:t>
      </w:r>
      <w:r>
        <w:rPr>
          <w:rStyle w:val="FloatTok"/>
        </w:rPr>
        <w:t xml:space="preserve">1.63</w:t>
      </w:r>
      <w:r>
        <w:rPr>
          <w:rStyle w:val="NormalTok"/>
        </w:rPr>
        <w:t xml:space="preserve">,  </w:t>
      </w:r>
      <w:r>
        <w:rPr>
          <w:rStyle w:val="SpecialCharTok"/>
        </w:rPr>
        <w:t xml:space="preserve">-</w:t>
      </w:r>
      <w:r>
        <w:rPr>
          <w:rStyle w:val="FloatTok"/>
        </w:rPr>
        <w:t xml:space="preserve">2.27</w:t>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2.70</w:t>
      </w:r>
      <w:r>
        <w:rPr>
          <w:rStyle w:val="NormalTok"/>
        </w:rPr>
        <w:t xml:space="preserve">, </w:t>
      </w:r>
      <w:r>
        <w:br/>
      </w:r>
      <w:r>
        <w:rPr>
          <w:rStyle w:val="NormalTok"/>
        </w:rPr>
        <w:t xml:space="preserve">                           </w:t>
      </w:r>
      <w:r>
        <w:rPr>
          <w:rStyle w:val="SpecialCharTok"/>
        </w:rPr>
        <w:t xml:space="preserve">-</w:t>
      </w:r>
      <w:r>
        <w:rPr>
          <w:rStyle w:val="FloatTok"/>
        </w:rPr>
        <w:t xml:space="preserve">2.93</w:t>
      </w:r>
      <w:r>
        <w:rPr>
          <w:rStyle w:val="NormalTok"/>
        </w:rPr>
        <w:t xml:space="preserve">, </w:t>
      </w:r>
      <w:r>
        <w:rPr>
          <w:rStyle w:val="SpecialCharTok"/>
        </w:rPr>
        <w:t xml:space="preserve">-</w:t>
      </w:r>
      <w:r>
        <w:rPr>
          <w:rStyle w:val="FloatTok"/>
        </w:rPr>
        <w:t xml:space="preserve">9.14</w:t>
      </w:r>
      <w:r>
        <w:rPr>
          <w:rStyle w:val="NormalTok"/>
        </w:rPr>
        <w:t xml:space="preserve">, </w:t>
      </w:r>
      <w:r>
        <w:rPr>
          <w:rStyle w:val="SpecialCharTok"/>
        </w:rPr>
        <w:t xml:space="preserve">-</w:t>
      </w:r>
      <w:r>
        <w:rPr>
          <w:rStyle w:val="FloatTok"/>
        </w:rPr>
        <w:t xml:space="preserve">2.64</w:t>
      </w:r>
      <w:r>
        <w:rPr>
          <w:rStyle w:val="NormalTok"/>
        </w:rPr>
        <w:t xml:space="preserve">, </w:t>
      </w:r>
      <w:r>
        <w:rPr>
          <w:rStyle w:val="FloatTok"/>
        </w:rPr>
        <w:t xml:space="preserve">6.82</w:t>
      </w:r>
      <w:r>
        <w:rPr>
          <w:rStyle w:val="NormalTok"/>
        </w:rPr>
        <w:t xml:space="preserve">,   </w:t>
      </w:r>
      <w:r>
        <w:rPr>
          <w:rStyle w:val="SpecialCharTok"/>
        </w:rPr>
        <w:t xml:space="preserve">-</w:t>
      </w:r>
      <w:r>
        <w:rPr>
          <w:rStyle w:val="FloatTok"/>
        </w:rPr>
        <w:t xml:space="preserve">2.35</w:t>
      </w:r>
      <w:r>
        <w:rPr>
          <w:rStyle w:val="NormalTok"/>
        </w:rPr>
        <w:t xml:space="preserve">, </w:t>
      </w:r>
      <w:r>
        <w:br/>
      </w:r>
      <w:r>
        <w:rPr>
          <w:rStyle w:val="NormalTok"/>
        </w:rPr>
        <w:t xml:space="preserve">                           </w:t>
      </w:r>
      <w:r>
        <w:rPr>
          <w:rStyle w:val="SpecialCharTok"/>
        </w:rPr>
        <w:t xml:space="preserve">-</w:t>
      </w:r>
      <w:r>
        <w:rPr>
          <w:rStyle w:val="FloatTok"/>
        </w:rPr>
        <w:t xml:space="preserve">3.58</w:t>
      </w:r>
      <w:r>
        <w:rPr>
          <w:rStyle w:val="NormalTok"/>
        </w:rPr>
        <w:t xml:space="preserve">,   </w:t>
      </w:r>
      <w:r>
        <w:rPr>
          <w:rStyle w:val="FloatTok"/>
        </w:rPr>
        <w:t xml:space="preserve">6.13</w:t>
      </w:r>
      <w:r>
        <w:rPr>
          <w:rStyle w:val="NormalTok"/>
        </w:rPr>
        <w:t xml:space="preserve">,   </w:t>
      </w:r>
      <w:r>
        <w:rPr>
          <w:rStyle w:val="FloatTok"/>
        </w:rPr>
        <w:t xml:space="preserve">7.00</w:t>
      </w:r>
      <w:r>
        <w:rPr>
          <w:rStyle w:val="NormalTok"/>
        </w:rPr>
        <w:t xml:space="preserve">, </w:t>
      </w:r>
      <w:r>
        <w:rPr>
          <w:rStyle w:val="SpecialCharTok"/>
        </w:rPr>
        <w:t xml:space="preserve">-</w:t>
      </w:r>
      <w:r>
        <w:rPr>
          <w:rStyle w:val="FloatTok"/>
        </w:rPr>
        <w:t xml:space="preserve">15.25</w:t>
      </w:r>
      <w:r>
        <w:rPr>
          <w:rStyle w:val="NormalTok"/>
        </w:rPr>
        <w:t xml:space="preserve">, </w:t>
      </w:r>
      <w:r>
        <w:rPr>
          <w:rStyle w:val="SpecialCharTok"/>
        </w:rPr>
        <w:t xml:space="preserve">-</w:t>
      </w:r>
      <w:r>
        <w:rPr>
          <w:rStyle w:val="FloatTok"/>
        </w:rPr>
        <w:t xml:space="preserve">8.66</w:t>
      </w:r>
      <w:r>
        <w:rPr>
          <w:rStyle w:val="NormalTok"/>
        </w:rPr>
        <w:t xml:space="preserve">,</w:t>
      </w:r>
      <w:r>
        <w:br/>
      </w:r>
      <w:r>
        <w:rPr>
          <w:rStyle w:val="NormalTok"/>
        </w:rPr>
        <w:t xml:space="preserve">                           </w:t>
      </w:r>
      <w:r>
        <w:rPr>
          <w:rStyle w:val="SpecialCharTok"/>
        </w:rPr>
        <w:t xml:space="preserve">-</w:t>
      </w:r>
      <w:r>
        <w:rPr>
          <w:rStyle w:val="FloatTok"/>
        </w:rPr>
        <w:t xml:space="preserve">1.03</w:t>
      </w:r>
      <w:r>
        <w:rPr>
          <w:rStyle w:val="NormalTok"/>
        </w:rPr>
        <w:t xml:space="preserve">, </w:t>
      </w:r>
      <w:r>
        <w:rPr>
          <w:rStyle w:val="SpecialCharTok"/>
        </w:rPr>
        <w:t xml:space="preserve">-</w:t>
      </w:r>
      <w:r>
        <w:rPr>
          <w:rStyle w:val="FloatTok"/>
        </w:rPr>
        <w:t xml:space="preserve">9.16</w:t>
      </w:r>
      <w:r>
        <w:rPr>
          <w:rStyle w:val="NormalTok"/>
        </w:rPr>
        <w:t xml:space="preserve">,  </w:t>
      </w:r>
      <w:r>
        <w:rPr>
          <w:rStyle w:val="SpecialCharTok"/>
        </w:rPr>
        <w:t xml:space="preserve">-</w:t>
      </w:r>
      <w:r>
        <w:rPr>
          <w:rStyle w:val="FloatTok"/>
        </w:rPr>
        <w:t xml:space="preserve">1.25</w:t>
      </w:r>
      <w:r>
        <w:rPr>
          <w:rStyle w:val="NormalTok"/>
        </w:rPr>
        <w:t xml:space="preserve">, </w:t>
      </w:r>
      <w:r>
        <w:rPr>
          <w:rStyle w:val="SpecialCharTok"/>
        </w:rPr>
        <w:t xml:space="preserve">-</w:t>
      </w:r>
      <w:r>
        <w:rPr>
          <w:rStyle w:val="FloatTok"/>
        </w:rPr>
        <w:t xml:space="preserve">1.22</w:t>
      </w:r>
      <w:r>
        <w:rPr>
          <w:rStyle w:val="NormalTok"/>
        </w:rPr>
        <w:t xml:space="preserve">,  </w:t>
      </w:r>
      <w:r>
        <w:rPr>
          <w:rStyle w:val="SpecialCharTok"/>
        </w:rPr>
        <w:t xml:space="preserve">-</w:t>
      </w:r>
      <w:r>
        <w:rPr>
          <w:rStyle w:val="FloatTok"/>
        </w:rPr>
        <w:t xml:space="preserve">10.27</w:t>
      </w:r>
      <w:r>
        <w:rPr>
          <w:rStyle w:val="NormalTok"/>
        </w:rPr>
        <w:t xml:space="preserve">,</w:t>
      </w:r>
      <w:r>
        <w:br/>
      </w:r>
      <w:r>
        <w:rPr>
          <w:rStyle w:val="NormalTok"/>
        </w:rPr>
        <w:t xml:space="preserve">                           </w:t>
      </w:r>
      <w:r>
        <w:rPr>
          <w:rStyle w:val="SpecialCharTok"/>
        </w:rPr>
        <w:t xml:space="preserve">-</w:t>
      </w:r>
      <w:r>
        <w:rPr>
          <w:rStyle w:val="FloatTok"/>
        </w:rPr>
        <w:t xml:space="preserve">5.11</w:t>
      </w:r>
      <w:r>
        <w:rPr>
          <w:rStyle w:val="NormalTok"/>
        </w:rPr>
        <w:t xml:space="preserve">, </w:t>
      </w:r>
      <w:r>
        <w:rPr>
          <w:rStyle w:val="SpecialCharTok"/>
        </w:rPr>
        <w:t xml:space="preserve">-</w:t>
      </w:r>
      <w:r>
        <w:rPr>
          <w:rStyle w:val="FloatTok"/>
        </w:rPr>
        <w:t xml:space="preserve">0.80</w:t>
      </w:r>
      <w:r>
        <w:rPr>
          <w:rStyle w:val="NormalTok"/>
        </w:rPr>
        <w:t xml:space="preserve">,  </w:t>
      </w:r>
      <w:r>
        <w:rPr>
          <w:rStyle w:val="SpecialCharTok"/>
        </w:rPr>
        <w:t xml:space="preserve">-</w:t>
      </w:r>
      <w:r>
        <w:rPr>
          <w:rStyle w:val="FloatTok"/>
        </w:rPr>
        <w:t xml:space="preserve">1.44</w:t>
      </w:r>
      <w:r>
        <w:rPr>
          <w:rStyle w:val="NormalTok"/>
        </w:rPr>
        <w:t xml:space="preserve">,  </w:t>
      </w:r>
      <w:r>
        <w:rPr>
          <w:rStyle w:val="FloatTok"/>
        </w:rPr>
        <w:t xml:space="preserve">1.28</w:t>
      </w:r>
      <w:r>
        <w:rPr>
          <w:rStyle w:val="NormalTok"/>
        </w:rPr>
        <w:t xml:space="preserve">,  </w:t>
      </w:r>
      <w:r>
        <w:rPr>
          <w:rStyle w:val="SpecialCharTok"/>
        </w:rPr>
        <w:t xml:space="preserve">-</w:t>
      </w:r>
      <w:r>
        <w:rPr>
          <w:rStyle w:val="FloatTok"/>
        </w:rPr>
        <w:t xml:space="preserve">0.65</w:t>
      </w:r>
      <w:r>
        <w:rPr>
          <w:rStyle w:val="NormalTok"/>
        </w:rPr>
        <w:t xml:space="preserve">,</w:t>
      </w:r>
      <w:r>
        <w:br/>
      </w:r>
      <w:r>
        <w:rPr>
          <w:rStyle w:val="NormalTok"/>
        </w:rPr>
        <w:t xml:space="preserve">                            </w:t>
      </w:r>
      <w:r>
        <w:rPr>
          <w:rStyle w:val="FloatTok"/>
        </w:rPr>
        <w:t xml:space="preserve">4.34</w:t>
      </w:r>
      <w:r>
        <w:rPr>
          <w:rStyle w:val="NormalTok"/>
        </w:rPr>
        <w:t xml:space="preserve">,   </w:t>
      </w:r>
      <w:r>
        <w:rPr>
          <w:rStyle w:val="FloatTok"/>
        </w:rPr>
        <w:t xml:space="preserve">12.22</w:t>
      </w:r>
      <w:r>
        <w:rPr>
          <w:rStyle w:val="NormalTok"/>
        </w:rPr>
        <w:t xml:space="preserve">, </w:t>
      </w:r>
      <w:r>
        <w:rPr>
          <w:rStyle w:val="SpecialCharTok"/>
        </w:rPr>
        <w:t xml:space="preserve">-</w:t>
      </w:r>
      <w:r>
        <w:rPr>
          <w:rStyle w:val="FloatTok"/>
        </w:rPr>
        <w:t xml:space="preserve">7.21</w:t>
      </w:r>
      <w:r>
        <w:rPr>
          <w:rStyle w:val="NormalTok"/>
        </w:rPr>
        <w:t xml:space="preserve">, </w:t>
      </w:r>
      <w:r>
        <w:rPr>
          <w:rStyle w:val="SpecialCharTok"/>
        </w:rPr>
        <w:t xml:space="preserve">-</w:t>
      </w:r>
      <w:r>
        <w:rPr>
          <w:rStyle w:val="FloatTok"/>
        </w:rPr>
        <w:t xml:space="preserve">0.09</w:t>
      </w:r>
      <w:r>
        <w:rPr>
          <w:rStyle w:val="NormalTok"/>
        </w:rPr>
        <w:t xml:space="preserve">, </w:t>
      </w:r>
      <w:r>
        <w:rPr>
          <w:rStyle w:val="FloatTok"/>
        </w:rPr>
        <w:t xml:space="preserve">7.34</w:t>
      </w:r>
      <w:r>
        <w:rPr>
          <w:rStyle w:val="NormalTok"/>
        </w:rPr>
        <w:t xml:space="preserve">, </w:t>
      </w:r>
      <w:r>
        <w:br/>
      </w:r>
      <w:r>
        <w:rPr>
          <w:rStyle w:val="NormalTok"/>
        </w:rPr>
        <w:t xml:space="preserve">                            </w:t>
      </w:r>
      <w:r>
        <w:rPr>
          <w:rStyle w:val="FloatTok"/>
        </w:rPr>
        <w:t xml:space="preserve">5.04</w:t>
      </w:r>
      <w:r>
        <w:rPr>
          <w:rStyle w:val="NormalTok"/>
        </w:rPr>
        <w:t xml:space="preserve">,  </w:t>
      </w:r>
      <w:r>
        <w:rPr>
          <w:rStyle w:val="SpecialCharTok"/>
        </w:rPr>
        <w:t xml:space="preserve">-</w:t>
      </w:r>
      <w:r>
        <w:rPr>
          <w:rStyle w:val="FloatTok"/>
        </w:rPr>
        <w:t xml:space="preserve">7.24</w:t>
      </w:r>
      <w:r>
        <w:rPr>
          <w:rStyle w:val="NormalTok"/>
        </w:rPr>
        <w:t xml:space="preserve">,  </w:t>
      </w:r>
      <w:r>
        <w:rPr>
          <w:rStyle w:val="SpecialCharTok"/>
        </w:rPr>
        <w:t xml:space="preserve">-</w:t>
      </w:r>
      <w:r>
        <w:rPr>
          <w:rStyle w:val="FloatTok"/>
        </w:rPr>
        <w:t xml:space="preserve">2.14</w:t>
      </w:r>
      <w:r>
        <w:rPr>
          <w:rStyle w:val="NormalTok"/>
        </w:rPr>
        <w:t xml:space="preserve">, </w:t>
      </w:r>
      <w:r>
        <w:rPr>
          <w:rStyle w:val="SpecialCharTok"/>
        </w:rPr>
        <w:t xml:space="preserve">-</w:t>
      </w:r>
      <w:r>
        <w:rPr>
          <w:rStyle w:val="FloatTok"/>
        </w:rPr>
        <w:t xml:space="preserve">1.01</w:t>
      </w:r>
      <w:r>
        <w:rPr>
          <w:rStyle w:val="NormalTok"/>
        </w:rPr>
        <w:t xml:space="preserve">,  </w:t>
      </w:r>
      <w:r>
        <w:rPr>
          <w:rStyle w:val="SpecialCharTok"/>
        </w:rPr>
        <w:t xml:space="preserve">-</w:t>
      </w:r>
      <w:r>
        <w:rPr>
          <w:rStyle w:val="FloatTok"/>
        </w:rPr>
        <w:t xml:space="preserve">1.41</w:t>
      </w:r>
      <w:r>
        <w:rPr>
          <w:rStyle w:val="NormalTok"/>
        </w:rPr>
        <w:t xml:space="preserve">, </w:t>
      </w:r>
      <w:r>
        <w:br/>
      </w:r>
      <w:r>
        <w:rPr>
          <w:rStyle w:val="NormalTok"/>
        </w:rPr>
        <w:t xml:space="preserve">                            </w:t>
      </w:r>
      <w:r>
        <w:rPr>
          <w:rStyle w:val="FloatTok"/>
        </w:rPr>
        <w:t xml:space="preserve">12.03</w:t>
      </w:r>
      <w:r>
        <w:rPr>
          <w:rStyle w:val="NormalTok"/>
        </w:rPr>
        <w:t xml:space="preserve">, </w:t>
      </w:r>
      <w:r>
        <w:rPr>
          <w:rStyle w:val="SpecialCharTok"/>
        </w:rPr>
        <w:t xml:space="preserve">-</w:t>
      </w:r>
      <w:r>
        <w:rPr>
          <w:rStyle w:val="FloatTok"/>
        </w:rPr>
        <w:t xml:space="preserve">2.53</w:t>
      </w:r>
      <w:r>
        <w:rPr>
          <w:rStyle w:val="NormalTok"/>
        </w:rPr>
        <w:t xml:space="preserve">,  </w:t>
      </w:r>
      <w:r>
        <w:rPr>
          <w:rStyle w:val="FloatTok"/>
        </w:rPr>
        <w:t xml:space="preserve">4.33</w:t>
      </w:r>
      <w:r>
        <w:rPr>
          <w:rStyle w:val="NormalTok"/>
        </w:rPr>
        <w:t xml:space="preserve">,  </w:t>
      </w:r>
      <w:r>
        <w:rPr>
          <w:rStyle w:val="FloatTok"/>
        </w:rPr>
        <w:t xml:space="preserve">1.35</w:t>
      </w:r>
      <w:r>
        <w:rPr>
          <w:rStyle w:val="NormalTok"/>
        </w:rPr>
        <w:t xml:space="preserve">)</w:t>
      </w:r>
      <w:r>
        <w:br/>
      </w:r>
      <w:r>
        <w:rPr>
          <w:rStyle w:val="NormalTok"/>
        </w:rPr>
        <w:t xml:space="preserve">Stockreturns</w:t>
      </w:r>
    </w:p>
    <w:p>
      <w:pPr>
        <w:pStyle w:val="SourceCode"/>
      </w:pPr>
      <w:r>
        <w:rPr>
          <w:rStyle w:val="VerbatimChar"/>
        </w:rPr>
        <w:t xml:space="preserve">##  [1]  -8.36   1.63  -2.27  -2.93  -2.70  -2.93  -9.14  -2.64   6.82  -2.35</w:t>
      </w:r>
      <w:r>
        <w:br/>
      </w:r>
      <w:r>
        <w:rPr>
          <w:rStyle w:val="VerbatimChar"/>
        </w:rPr>
        <w:t xml:space="preserve">## [11]  -3.58   6.13   7.00 -15.25  -8.66  -1.03  -9.16  -1.25  -1.22 -10.27</w:t>
      </w:r>
      <w:r>
        <w:br/>
      </w:r>
      <w:r>
        <w:rPr>
          <w:rStyle w:val="VerbatimChar"/>
        </w:rPr>
        <w:t xml:space="preserve">## [21]  -5.11  -0.80  -1.44   1.28  -0.65   4.34  12.22  -7.21  -0.09   7.34</w:t>
      </w:r>
      <w:r>
        <w:br/>
      </w:r>
      <w:r>
        <w:rPr>
          <w:rStyle w:val="VerbatimChar"/>
        </w:rPr>
        <w:t xml:space="preserve">## [31]   5.04  -7.24  -2.14  -1.01  -1.41  12.03  -2.53   4.33   1.35</w:t>
      </w:r>
    </w:p>
    <w:p>
      <w:pPr>
        <w:pStyle w:val="SourceCode"/>
      </w:pPr>
      <w:r>
        <w:rPr>
          <w:rStyle w:val="DocumentationTok"/>
        </w:rPr>
        <w:t xml:space="preserve">##1. </w:t>
      </w:r>
      <w:r>
        <w:br/>
      </w:r>
      <w:r>
        <w:rPr>
          <w:rStyle w:val="FunctionTok"/>
        </w:rPr>
        <w:t xml:space="preserve">mean</w:t>
      </w:r>
      <w:r>
        <w:rPr>
          <w:rStyle w:val="NormalTok"/>
        </w:rPr>
        <w:t xml:space="preserve">(Stockreturns)</w:t>
      </w:r>
    </w:p>
    <w:p>
      <w:pPr>
        <w:pStyle w:val="SourceCode"/>
      </w:pPr>
      <w:r>
        <w:rPr>
          <w:rStyle w:val="VerbatimChar"/>
        </w:rPr>
        <w:t xml:space="preserve">## [1] -1.124615</w:t>
      </w:r>
    </w:p>
    <w:p>
      <w:pPr>
        <w:pStyle w:val="SourceCode"/>
      </w:pPr>
      <w:r>
        <w:rPr>
          <w:rStyle w:val="DocumentationTok"/>
        </w:rPr>
        <w:t xml:space="preserve">##2. </w:t>
      </w:r>
      <w:r>
        <w:br/>
      </w:r>
      <w:r>
        <w:rPr>
          <w:rStyle w:val="NormalTok"/>
        </w:rPr>
        <w:t xml:space="preserve">a </w:t>
      </w:r>
      <w:r>
        <w:rPr>
          <w:rStyle w:val="OtherTok"/>
        </w:rPr>
        <w:t xml:space="preserve">&lt;-</w:t>
      </w:r>
      <w:r>
        <w:rPr>
          <w:rStyle w:val="NormalTok"/>
        </w:rPr>
        <w:t xml:space="preserve"> </w:t>
      </w:r>
      <w:r>
        <w:rPr>
          <w:rStyle w:val="FunctionTok"/>
        </w:rPr>
        <w:t xml:space="preserve">var</w:t>
      </w:r>
      <w:r>
        <w:rPr>
          <w:rStyle w:val="NormalTok"/>
        </w:rPr>
        <w:t xml:space="preserve">(Stockreturns)</w:t>
      </w:r>
      <w:r>
        <w:br/>
      </w:r>
      <w:r>
        <w:rPr>
          <w:rStyle w:val="NormalTok"/>
        </w:rPr>
        <w:t xml:space="preserve">sd </w:t>
      </w:r>
      <w:r>
        <w:rPr>
          <w:rStyle w:val="OtherTok"/>
        </w:rPr>
        <w:t xml:space="preserve">&lt;-</w:t>
      </w:r>
      <w:r>
        <w:rPr>
          <w:rStyle w:val="NormalTok"/>
        </w:rPr>
        <w:t xml:space="preserve"> </w:t>
      </w:r>
      <w:r>
        <w:rPr>
          <w:rStyle w:val="FunctionTok"/>
        </w:rPr>
        <w:t xml:space="preserve">sqrt</w:t>
      </w:r>
      <w:r>
        <w:rPr>
          <w:rStyle w:val="NormalTok"/>
        </w:rPr>
        <w:t xml:space="preserve">(a)</w:t>
      </w:r>
      <w:r>
        <w:br/>
      </w:r>
      <w:r>
        <w:rPr>
          <w:rStyle w:val="NormalTok"/>
        </w:rPr>
        <w:t xml:space="preserve">sd</w:t>
      </w:r>
    </w:p>
    <w:p>
      <w:pPr>
        <w:pStyle w:val="SourceCode"/>
      </w:pPr>
      <w:r>
        <w:rPr>
          <w:rStyle w:val="VerbatimChar"/>
        </w:rPr>
        <w:t xml:space="preserve">## [1] 5.977673</w:t>
      </w:r>
    </w:p>
    <w:p>
      <w:pPr>
        <w:pStyle w:val="SourceCode"/>
      </w:pPr>
      <w:r>
        <w:rPr>
          <w:rStyle w:val="DocumentationTok"/>
        </w:rPr>
        <w:t xml:space="preserve">##3. </w:t>
      </w:r>
      <w:r>
        <w:br/>
      </w:r>
      <w:r>
        <w:rPr>
          <w:rStyle w:val="FunctionTok"/>
        </w:rPr>
        <w:t xml:space="preserve">pnorm</w:t>
      </w:r>
      <w:r>
        <w:rPr>
          <w:rStyle w:val="NormalTok"/>
        </w:rPr>
        <w:t xml:space="preserve">(</w:t>
      </w:r>
      <w:r>
        <w:rPr>
          <w:rStyle w:val="AttributeTok"/>
        </w:rPr>
        <w:t xml:space="preserve">q =</w:t>
      </w:r>
      <w:r>
        <w:rPr>
          <w:rStyle w:val="NormalTok"/>
        </w:rPr>
        <w:t xml:space="preserve"> </w:t>
      </w:r>
      <w:r>
        <w:rPr>
          <w:rStyle w:val="SpecialCharTok"/>
        </w:rPr>
        <w:t xml:space="preserve">-</w:t>
      </w:r>
      <w:r>
        <w:rPr>
          <w:rStyle w:val="FloatTok"/>
        </w:rPr>
        <w:t xml:space="preserve">1.5</w:t>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loatTok"/>
        </w:rPr>
        <w:t xml:space="preserve">1.124615</w:t>
      </w:r>
      <w:r>
        <w:rPr>
          <w:rStyle w:val="NormalTok"/>
        </w:rPr>
        <w:t xml:space="preserve">, </w:t>
      </w:r>
      <w:r>
        <w:rPr>
          <w:rStyle w:val="AttributeTok"/>
        </w:rPr>
        <w:t xml:space="preserve">sd =</w:t>
      </w:r>
      <w:r>
        <w:rPr>
          <w:rStyle w:val="NormalTok"/>
        </w:rPr>
        <w:t xml:space="preserve"> </w:t>
      </w:r>
      <w:r>
        <w:rPr>
          <w:rStyle w:val="FloatTok"/>
        </w:rPr>
        <w:t xml:space="preserve">5.977673</w:t>
      </w:r>
      <w:r>
        <w:rPr>
          <w:rStyle w:val="NormalTok"/>
        </w:rPr>
        <w:t xml:space="preserve">)   </w:t>
      </w:r>
    </w:p>
    <w:p>
      <w:pPr>
        <w:pStyle w:val="SourceCode"/>
      </w:pPr>
      <w:r>
        <w:rPr>
          <w:rStyle w:val="VerbatimChar"/>
        </w:rPr>
        <w:t xml:space="preserve">## [1] 0.4749637</w:t>
      </w:r>
    </w:p>
    <w:p>
      <w:pPr>
        <w:pStyle w:val="SourceCode"/>
      </w:pPr>
      <w:r>
        <w:rPr>
          <w:rStyle w:val="DocumentationTok"/>
        </w:rPr>
        <w:t xml:space="preserve">##4. </w:t>
      </w:r>
      <w:r>
        <w:br/>
      </w:r>
      <w:r>
        <w:rPr>
          <w:rStyle w:val="FunctionTok"/>
        </w:rPr>
        <w:t xml:space="preserve">qnorm</w:t>
      </w:r>
      <w:r>
        <w:rPr>
          <w:rStyle w:val="NormalTok"/>
        </w:rPr>
        <w:t xml:space="preserve">(</w:t>
      </w:r>
      <w:r>
        <w:rPr>
          <w:rStyle w:val="AttributeTok"/>
        </w:rPr>
        <w:t xml:space="preserve">p =</w:t>
      </w:r>
      <w:r>
        <w:rPr>
          <w:rStyle w:val="NormalTok"/>
        </w:rPr>
        <w:t xml:space="preserve"> </w:t>
      </w:r>
      <w:r>
        <w:rPr>
          <w:rStyle w:val="FloatTok"/>
        </w:rPr>
        <w:t xml:space="preserve">0.30</w:t>
      </w:r>
      <w:r>
        <w:rPr>
          <w:rStyle w:val="NormalTok"/>
        </w:rPr>
        <w:t xml:space="preserve">, </w:t>
      </w:r>
      <w:r>
        <w:rPr>
          <w:rStyle w:val="AttributeTok"/>
        </w:rPr>
        <w:t xml:space="preserve">mean =</w:t>
      </w:r>
      <w:r>
        <w:rPr>
          <w:rStyle w:val="NormalTok"/>
        </w:rPr>
        <w:t xml:space="preserve"> </w:t>
      </w:r>
      <w:r>
        <w:rPr>
          <w:rStyle w:val="SpecialCharTok"/>
        </w:rPr>
        <w:t xml:space="preserve">-</w:t>
      </w:r>
      <w:r>
        <w:rPr>
          <w:rStyle w:val="FloatTok"/>
        </w:rPr>
        <w:t xml:space="preserve">1.124615</w:t>
      </w:r>
      <w:r>
        <w:rPr>
          <w:rStyle w:val="NormalTok"/>
        </w:rPr>
        <w:t xml:space="preserve">, </w:t>
      </w:r>
      <w:r>
        <w:rPr>
          <w:rStyle w:val="AttributeTok"/>
        </w:rPr>
        <w:t xml:space="preserve">sd =</w:t>
      </w:r>
      <w:r>
        <w:rPr>
          <w:rStyle w:val="NormalTok"/>
        </w:rPr>
        <w:t xml:space="preserve"> </w:t>
      </w:r>
      <w:r>
        <w:rPr>
          <w:rStyle w:val="FloatTok"/>
        </w:rPr>
        <w:t xml:space="preserve">5.977673</w:t>
      </w:r>
      <w:r>
        <w:rPr>
          <w:rStyle w:val="NormalTok"/>
        </w:rPr>
        <w:t xml:space="preserve">)</w:t>
      </w:r>
    </w:p>
    <w:p>
      <w:pPr>
        <w:pStyle w:val="SourceCode"/>
      </w:pPr>
      <w:r>
        <w:rPr>
          <w:rStyle w:val="VerbatimChar"/>
        </w:rPr>
        <w:t xml:space="preserve">## [1] -4.25931</w:t>
      </w:r>
    </w:p>
    <w:p>
      <w:pPr>
        <w:pStyle w:val="SourceCode"/>
      </w:pPr>
      <w:r>
        <w:rPr>
          <w:rStyle w:val="DocumentationTok"/>
        </w:rPr>
        <w:t xml:space="preserve">##5. </w:t>
      </w:r>
      <w:r>
        <w:br/>
      </w:r>
      <w:r>
        <w:rPr>
          <w:rStyle w:val="FunctionTok"/>
        </w:rPr>
        <w:t xml:space="preserve">summary</w:t>
      </w:r>
      <w:r>
        <w:rPr>
          <w:rStyle w:val="NormalTok"/>
        </w:rPr>
        <w:t xml:space="preserve">(Stockreturns)</w:t>
      </w:r>
    </w:p>
    <w:p>
      <w:pPr>
        <w:pStyle w:val="SourceCode"/>
      </w:pPr>
      <w:r>
        <w:rPr>
          <w:rStyle w:val="VerbatimChar"/>
        </w:rPr>
        <w:t xml:space="preserve">##    Min. 1st Qu.  Median    Mean 3rd Qu.    Max. </w:t>
      </w:r>
      <w:r>
        <w:br/>
      </w:r>
      <w:r>
        <w:rPr>
          <w:rStyle w:val="VerbatimChar"/>
        </w:rPr>
        <w:t xml:space="preserve">## -15.250  -3.255  -1.410  -1.125   1.490  12.220</w:t>
      </w:r>
    </w:p>
    <w:p>
      <w:pPr>
        <w:pStyle w:val="SourceCode"/>
      </w:pPr>
      <w:r>
        <w:rPr>
          <w:rStyle w:val="DocumentationTok"/>
        </w:rPr>
        <w:t xml:space="preserve">## Q1 is -3.255. </w:t>
      </w:r>
    </w:p>
    <w:p>
      <w:pPr>
        <w:pStyle w:val="SourceCode"/>
      </w:pPr>
      <w:r>
        <w:rPr>
          <w:rStyle w:val="DocumentationTok"/>
        </w:rPr>
        <w:t xml:space="preserve">##6. </w:t>
      </w:r>
      <w:r>
        <w:br/>
      </w:r>
      <w:r>
        <w:rPr>
          <w:rStyle w:val="FunctionTok"/>
        </w:rPr>
        <w:t xml:space="preserve">boxplot</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STAT413-HW5_files/figure-docx/unnamed-chunk-7-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(Stockreturns)</w:t>
      </w:r>
      <w:r>
        <w:br/>
      </w:r>
      <w:r>
        <w:rPr>
          <w:rStyle w:val="FunctionTok"/>
        </w:rPr>
        <w:t xml:space="preserve">qqline</w:t>
      </w:r>
      <w:r>
        <w:rPr>
          <w:rStyle w:val="NormalTok"/>
        </w:rPr>
        <w:t xml:space="preserve">(Stockreturns)</w:t>
      </w:r>
    </w:p>
    <w:p>
      <w:pPr>
        <w:pStyle w:val="FirstParagraph"/>
      </w:pPr>
      <w:r>
        <w:drawing>
          <wp:inline>
            <wp:extent cx="5334000" cy="4267200"/>
            <wp:effectExtent b="0" l="0" r="0" t="0"/>
            <wp:docPr descr="" title="" id="1" name="Picture"/>
            <a:graphic>
              <a:graphicData uri="http://schemas.openxmlformats.org/drawingml/2006/picture">
                <pic:pic>
                  <pic:nvPicPr>
                    <pic:cNvPr descr="STAT413-HW5_files/figure-docx/unnamed-chunk-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DocumentationTok"/>
        </w:rPr>
        <w:t xml:space="preserve">## For the boxplot, we can see that the distribution is aliitle bit right skew but approximately symmatric. And for the norm qq plot, the points at the beginning and at the end is following the other way, but most of the point in the middle is following the line. Thus, the distribution is not perfectly normal, but approxiamtely normally distribution. </w:t>
      </w:r>
    </w:p>
    <w:p>
      <w:pPr>
        <w:pStyle w:val="SourceCode"/>
      </w:pPr>
      <w:r>
        <w:rPr>
          <w:rStyle w:val="DocumentationTok"/>
        </w:rPr>
        <w:t xml:space="preserve">##7, </w:t>
      </w:r>
      <w:r>
        <w:br/>
      </w:r>
      <w:r>
        <w:rPr>
          <w:rStyle w:val="FunctionTok"/>
        </w:rPr>
        <w:t xml:space="preserve">t.test</w:t>
      </w:r>
      <w:r>
        <w:rPr>
          <w:rStyle w:val="NormalTok"/>
        </w:rPr>
        <w:t xml:space="preserve">(Stockreturns,</w:t>
      </w:r>
      <w:r>
        <w:rPr>
          <w:rStyle w:val="AttributeTok"/>
        </w:rPr>
        <w:t xml:space="preserve">mu=</w:t>
      </w:r>
      <w:r>
        <w:rPr>
          <w:rStyle w:val="FloatTok"/>
        </w:rPr>
        <w:t xml:space="preserve">0.0095</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DecValTok"/>
        </w:rPr>
        <w:t xml:space="preserve">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Stockreturns</w:t>
      </w:r>
      <w:r>
        <w:br/>
      </w:r>
      <w:r>
        <w:rPr>
          <w:rStyle w:val="VerbatimChar"/>
        </w:rPr>
        <w:t xml:space="preserve">## t = -1.1848, df = 38, p-value = 0.1217</w:t>
      </w:r>
      <w:r>
        <w:br/>
      </w:r>
      <w:r>
        <w:rPr>
          <w:rStyle w:val="VerbatimChar"/>
        </w:rPr>
        <w:t xml:space="preserve">## alternative hypothesis: true mean is less than 0.0095</w:t>
      </w:r>
      <w:r>
        <w:br/>
      </w:r>
      <w:r>
        <w:rPr>
          <w:rStyle w:val="VerbatimChar"/>
        </w:rPr>
        <w:t xml:space="preserve">## 95 percent confidence interval:</w:t>
      </w:r>
      <w:r>
        <w:br/>
      </w:r>
      <w:r>
        <w:rPr>
          <w:rStyle w:val="VerbatimChar"/>
        </w:rPr>
        <w:t xml:space="preserve">##       -Inf 0.4891698</w:t>
      </w:r>
      <w:r>
        <w:br/>
      </w:r>
      <w:r>
        <w:rPr>
          <w:rStyle w:val="VerbatimChar"/>
        </w:rPr>
        <w:t xml:space="preserve">## sample estimates:</w:t>
      </w:r>
      <w:r>
        <w:br/>
      </w:r>
      <w:r>
        <w:rPr>
          <w:rStyle w:val="VerbatimChar"/>
        </w:rPr>
        <w:t xml:space="preserve">## mean of x </w:t>
      </w:r>
      <w:r>
        <w:br/>
      </w:r>
      <w:r>
        <w:rPr>
          <w:rStyle w:val="VerbatimChar"/>
        </w:rPr>
        <w:t xml:space="preserve">## -1.124615</w:t>
      </w:r>
    </w:p>
    <w:p>
      <w:pPr>
        <w:pStyle w:val="SourceCode"/>
      </w:pPr>
      <w:r>
        <w:rPr>
          <w:rStyle w:val="DocumentationTok"/>
        </w:rPr>
        <w:t xml:space="preserve">## t value is -1.1848. </w:t>
      </w:r>
    </w:p>
    <w:p>
      <w:pPr>
        <w:pStyle w:val="SourceCode"/>
      </w:pPr>
      <w:r>
        <w:rPr>
          <w:rStyle w:val="DocumentationTok"/>
        </w:rPr>
        <w:t xml:space="preserve">##8. </w:t>
      </w:r>
      <w:r>
        <w:br/>
      </w:r>
      <w:r>
        <w:rPr>
          <w:rStyle w:val="DocumentationTok"/>
        </w:rPr>
        <w:t xml:space="preserve">## t value is -1.1848 with the p value 0.1217. The 95% confidence interval is [-inf, 0.489168]. </w:t>
      </w:r>
    </w:p>
    <w:p>
      <w:pPr>
        <w:pStyle w:val="SourceCode"/>
      </w:pPr>
      <w:r>
        <w:rPr>
          <w:rStyle w:val="DocumentationTok"/>
        </w:rPr>
        <w:t xml:space="preserve">##9. </w:t>
      </w:r>
      <w:r>
        <w:br/>
      </w:r>
      <w:r>
        <w:rPr>
          <w:rStyle w:val="DocumentationTok"/>
        </w:rPr>
        <w:t xml:space="preserve">## t value is -1.1848 with the p value 0.1217, which is greater than 0.05, we cannot reject the null hypothesis, thus, we cannot conclude that the broker perform is worse than average.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STAT413 HW5</dc:title>
  <dc:creator/>
  <cp:keywords/>
  <dcterms:created xsi:type="dcterms:W3CDTF">2021-03-06T03:28:15Z</dcterms:created>
  <dcterms:modified xsi:type="dcterms:W3CDTF">2021-03-06T03:28:15Z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