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application/vnd.openxmlformats-officedocument.spreadsheetml.sheet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b9afb907baaf4684" />
  <Relationship Type="http://schemas.openxmlformats.org/package/2006/relationships/metadata/core-properties" Target="package/services/metadata/core-properties/013b787a9bdc487f864cd7dc56b64125.psmdcp" Id="Rf03e5da2a7234b46" />
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rPr>
          <w:b/>
          <w:bCs/>
          <w:color w:val="235FB4"/>
          <w:sz w:val="18"/>
        </w:rPr>
        <w:t xml:space="preserve">NORTHWIND OPERATIONS / QUARTERLY SERVICE REVIEW</w:t>
      </w:r>
    </w:p>
    <w:p>
      <w:pPr>
        <w:pStyle w:val="Heading1"/>
        <w:spacing w:before="80" w:after="100"/>
      </w:pPr>
      <w:r>
        <w:rPr>
          <w:b/>
          <w:bCs/>
          <w:color w:val="17365D"/>
          <w:sz w:val="56"/>
        </w:rPr>
        <w:t xml:space="preserve">Customer delivery summary</w:t>
      </w:r>
    </w:p>
    <w:p>
      <w:pPr/>
      <w:r>
        <w:rPr>
          <w:color w:val="526179"/>
        </w:rPr>
        <w:t xml:space="preserve">Ready for acceptance. Illustrative figures from structured project data.</w:t>
      </w:r>
    </w:p>
    <w:tbl>
      <w:tblPr>
        <w:tblStyle w:val="TableNormal"/>
        <w:tblW w:w="5000" w:type="pct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400" w:type="dxa"/>
            <w:shd w:val="clear" w:fill="EAF1FB"/>
            <w:tcMar>
              <w:top w:w="57" w:type="dxa"/>
              <w:bottom w:w="57" w:type="dxa"/>
            </w:tcMar>
          </w:tcPr>
          <w:p>
            <w:pPr/>
            <w:r>
              <w:rPr>
                <w:b/>
                <w:bCs/>
                <w:color w:val="17365D"/>
                <w:sz w:val="44"/>
              </w:rPr>
              <w:t xml:space="preserve">12 of 12</w:t>
            </w:r>
          </w:p>
          <w:p>
            <w:pPr/>
            <w:r>
              <w:rPr>
                <w:color w:val="526179"/>
                <w:sz w:val="18"/>
              </w:rPr>
              <w:t xml:space="preserve">milestones accepted</w:t>
            </w:r>
          </w:p>
        </w:tc>
        <w:tc>
          <w:tcPr>
            <w:tcW w:w="2400" w:type="dxa"/>
            <w:shd w:val="clear" w:fill="EAF1FB"/>
            <w:tcMar>
              <w:top w:w="57" w:type="dxa"/>
              <w:bottom w:w="57" w:type="dxa"/>
            </w:tcMar>
          </w:tcPr>
          <w:p>
            <w:pPr/>
            <w:r>
              <w:rPr>
                <w:b/>
                <w:bCs/>
                <w:color w:val="17365D"/>
                <w:sz w:val="44"/>
              </w:rPr>
              <w:t xml:space="preserve">99.7%</w:t>
            </w:r>
          </w:p>
          <w:p>
            <w:pPr/>
            <w:r>
              <w:rPr>
                <w:color w:val="526179"/>
                <w:sz w:val="18"/>
              </w:rPr>
              <w:t xml:space="preserve">service availability</w:t>
            </w:r>
          </w:p>
        </w:tc>
        <w:tc>
          <w:tcPr>
            <w:tcW w:w="2400" w:type="dxa"/>
            <w:shd w:val="clear" w:fill="EAF1FB"/>
            <w:tcMar>
              <w:top w:w="57" w:type="dxa"/>
              <w:bottom w:w="57" w:type="dxa"/>
            </w:tcMar>
          </w:tcPr>
          <w:p>
            <w:pPr/>
            <w:r>
              <w:rPr>
                <w:b/>
                <w:bCs/>
                <w:color w:val="17365D"/>
                <w:sz w:val="44"/>
              </w:rPr>
              <w:t xml:space="preserve">−38%</w:t>
            </w:r>
          </w:p>
          <w:p>
            <w:pPr/>
            <w:r>
              <w:rPr>
                <w:color w:val="526179"/>
                <w:sz w:val="18"/>
              </w:rPr>
              <w:t xml:space="preserve">incidents vs. last quarter</w:t>
            </w:r>
          </w:p>
        </w:tc>
        <w:tc>
          <w:tcPr>
            <w:tcW w:w="2400" w:type="dxa"/>
            <w:shd w:val="clear" w:fill="EAF1FB"/>
            <w:tcMar>
              <w:top w:w="57" w:type="dxa"/>
              <w:bottom w:w="57" w:type="dxa"/>
            </w:tcMar>
          </w:tcPr>
          <w:p>
            <w:pPr/>
            <w:r>
              <w:rPr>
                <w:b/>
                <w:bCs/>
                <w:color w:val="17365D"/>
                <w:sz w:val="44"/>
              </w:rPr>
              <w:t xml:space="preserve">4.7 / 5</w:t>
            </w:r>
          </w:p>
          <w:p>
            <w:pPr/>
            <w:r>
              <w:rPr>
                <w:color w:val="526179"/>
                <w:sz w:val="18"/>
              </w:rPr>
              <w:t xml:space="preserve">customer rating</w:t>
            </w:r>
          </w:p>
        </w:tc>
      </w:tr>
    </w:tbl>
    <w:p>
      <w:pPr>
        <w:pStyle w:val="Heading2"/>
        <w:spacing w:before="160" w:after="100"/>
      </w:pPr>
      <w:r>
        <w:rPr>
          <w:b/>
          <w:bCs/>
          <w:color w:val="17365D"/>
          <w:sz w:val="28"/>
        </w:rPr>
        <w:t xml:space="preserve">Delivered outcomes</w:t>
      </w:r>
    </w:p>
    <w:tbl>
      <w:tblPr>
        <w:tblStyle w:val="TableGrid"/>
        <w:tblW w:w="5000" w:type="pct"/>
        <w:tblLayout w:type="fixed"/>
        <w:tblLook w:val="04A0"/>
      </w:tblPr>
      <w:tblGrid>
        <w:gridCol w:w="3182"/>
        <w:gridCol w:w="2808"/>
        <w:gridCol w:w="1685"/>
        <w:gridCol w:w="1685"/>
      </w:tblGrid>
      <w:tr>
        <w:tc>
          <w:tcPr>
            <w:tcW w:w="17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w="15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tcW w:w="9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w="9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w="1700" w:type="pct"/>
            <w:tcMar>
              <w:top w:w="68" w:type="dxa"/>
              <w:bottom w:w="68" w:type="dxa"/>
            </w:tcMar>
          </w:tcPr>
          <w:p>
            <w:pPr/>
            <w:r>
              <w:t xml:space="preserve">Production rollout validated</w:t>
            </w:r>
          </w:p>
        </w:tc>
        <w:tc>
          <w:tcPr>
            <w:tcW w:w="1500" w:type="pct"/>
            <w:tcMar>
              <w:top w:w="68" w:type="dxa"/>
              <w:bottom w:w="68" w:type="dxa"/>
            </w:tcMar>
          </w:tcPr>
          <w:p>
            <w:pPr/>
            <w:r>
              <w:t xml:space="preserve">Recovery path rehearsed twice</w:t>
            </w:r>
          </w:p>
        </w:tc>
        <w:tc>
          <w:tcPr>
            <w:tcW w:w="900" w:type="pct"/>
            <w:tcMar>
              <w:top w:w="68" w:type="dxa"/>
              <w:bottom w:w="68" w:type="dxa"/>
            </w:tcMar>
          </w:tcPr>
          <w:p>
            <w:pPr/>
            <w:r>
              <w:t xml:space="preserve">Delivery</w:t>
            </w:r>
          </w:p>
        </w:tc>
        <w:tc>
          <w:tcPr>
            <w:tcW w:w="900" w:type="pct"/>
            <w:shd w:val="clear" w:fill="E7F6E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</w:rPr>
              <w:t xml:space="preserve">Accepted</w:t>
            </w:r>
          </w:p>
        </w:tc>
      </w:tr>
      <w:tr>
        <w:tc>
          <w:tcPr>
            <w:tcW w:w="1700" w:type="pct"/>
            <w:shd w:val="clear" w:fill="F5F8FC"/>
            <w:tcMar>
              <w:top w:w="68" w:type="dxa"/>
              <w:bottom w:w="68" w:type="dxa"/>
            </w:tcMar>
          </w:tcPr>
          <w:p>
            <w:pPr/>
            <w:r>
              <w:t xml:space="preserve">Ownership and contacts documented</w:t>
            </w:r>
          </w:p>
        </w:tc>
        <w:tc>
          <w:tcPr>
            <w:tcW w:w="1500" w:type="pct"/>
            <w:shd w:val="clear" w:fill="F5F8FC"/>
            <w:tcMar>
              <w:top w:w="68" w:type="dxa"/>
              <w:bottom w:w="68" w:type="dxa"/>
            </w:tcMar>
          </w:tcPr>
          <w:p>
            <w:pPr/>
            <w:r>
              <w:t xml:space="preserve">Runbook published</w:t>
            </w:r>
          </w:p>
        </w:tc>
        <w:tc>
          <w:tcPr>
            <w:tcW w:w="900" w:type="pct"/>
            <w:shd w:val="clear" w:fill="F5F8FC"/>
            <w:tcMar>
              <w:top w:w="68" w:type="dxa"/>
              <w:bottom w:w="68" w:type="dxa"/>
            </w:tcMar>
          </w:tcPr>
          <w:p>
            <w:pPr/>
            <w:r>
              <w:t xml:space="preserve">Support</w:t>
            </w:r>
          </w:p>
        </w:tc>
        <w:tc>
          <w:tcPr>
            <w:tcW w:w="900" w:type="pct"/>
            <w:shd w:val="clear" w:fill="E7F6E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</w:rPr>
              <w:t xml:space="preserve">Accepted</w:t>
            </w:r>
          </w:p>
        </w:tc>
      </w:tr>
      <w:tr>
        <w:tc>
          <w:tcPr>
            <w:tcW w:w="1700" w:type="pct"/>
            <w:tcMar>
              <w:top w:w="68" w:type="dxa"/>
              <w:bottom w:w="68" w:type="dxa"/>
            </w:tcMar>
          </w:tcPr>
          <w:p>
            <w:pPr/>
            <w:r>
              <w:t xml:space="preserve">Next-quarter backlog prepared</w:t>
            </w:r>
          </w:p>
        </w:tc>
        <w:tc>
          <w:tcPr>
            <w:tcW w:w="1500" w:type="pct"/>
            <w:tcMar>
              <w:top w:w="68" w:type="dxa"/>
              <w:bottom w:w="68" w:type="dxa"/>
            </w:tcMar>
          </w:tcPr>
          <w:p>
            <w:pPr/>
            <w:r>
              <w:t xml:space="preserve">Twelve items ranked</w:t>
            </w:r>
          </w:p>
        </w:tc>
        <w:tc>
          <w:tcPr>
            <w:tcW w:w="900" w:type="pct"/>
            <w:tcMar>
              <w:top w:w="68" w:type="dxa"/>
              <w:bottom w:w="68" w:type="dxa"/>
            </w:tcMar>
          </w:tcPr>
          <w:p>
            <w:pPr/>
            <w:r>
              <w:t xml:space="preserve">Product</w:t>
            </w:r>
          </w:p>
        </w:tc>
        <w:tc>
          <w:tcPr>
            <w:tcW w:w="900" w:type="pct"/>
            <w:shd w:val="clear" w:fill="FFF4CC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</w:rPr>
              <w:t xml:space="preserve">In review</w:t>
            </w:r>
          </w:p>
        </w:tc>
      </w:tr>
    </w:tbl>
    <w:p>
      <w:pPr>
        <w:pStyle w:val="Heading2"/>
        <w:spacing w:before="160" w:after="100"/>
      </w:pPr>
      <w:r>
        <w:rPr>
          <w:b/>
          <w:bCs/>
          <w:color w:val="17365D"/>
          <w:sz w:val="28"/>
        </w:rPr>
        <w:t xml:space="preserve">Incidents per week</w:t>
      </w:r>
    </w:p>
    <w:p>
      <w:pPr/>
      <w:r>
        <w:drawing>
          <wp:inline xmlns:wp="http://schemas.openxmlformats.org/drawingml/2006/wordprocessingDrawing">
            <wp:extent cx="7524750" cy="1905000"/>
            <wp:effectExtent l="0" t="0" r="19050" b="19050"/>
            <wp:docPr id="1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87dc18dd642b400d"/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b/>
          <w:bCs/>
          <w:color w:val="17365D"/>
          <w:sz w:val="28"/>
        </w:rPr>
        <w:t xml:space="preserve">Next steps</w:t>
      </w:r>
    </w:p>
    <w:tbl>
      <w:tblPr>
        <w:tblStyle w:val="TableGrid"/>
        <w:tblW w:w="5000" w:type="pct"/>
        <w:tblLayout w:type="fixed"/>
        <w:tblLook w:val="04A0"/>
      </w:tblPr>
      <w:tblGrid>
        <w:gridCol w:w="3744"/>
        <w:gridCol w:w="2246"/>
        <w:gridCol w:w="1685"/>
        <w:gridCol w:w="1685"/>
      </w:tblGrid>
      <w:tr>
        <w:tc>
          <w:tcPr>
            <w:tcW w:w="20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w="12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w="9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Due</w:t>
            </w:r>
          </w:p>
        </w:tc>
        <w:tc>
          <w:tcPr>
            <w:tcW w:w="900" w:type="pct"/>
            <w:shd w:val="clear" w:fill="17365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w="2000" w:type="pct"/>
            <w:tcMar>
              <w:top w:w="68" w:type="dxa"/>
              <w:bottom w:w="68" w:type="dxa"/>
            </w:tcMar>
          </w:tcPr>
          <w:p>
            <w:pPr/>
            <w:r>
              <w:t xml:space="preserve">Approve delivery notes</w:t>
            </w:r>
          </w:p>
        </w:tc>
        <w:tc>
          <w:tcPr>
            <w:tcW w:w="1200" w:type="pct"/>
            <w:tcMar>
              <w:top w:w="68" w:type="dxa"/>
              <w:bottom w:w="68" w:type="dxa"/>
            </w:tcMar>
          </w:tcPr>
          <w:p>
            <w:pPr/>
            <w:r>
              <w:t xml:space="preserve">Customer</w:t>
            </w:r>
          </w:p>
        </w:tc>
        <w:tc>
          <w:tcPr>
            <w:tcW w:w="900" w:type="pct"/>
            <w:tcMar>
              <w:top w:w="68" w:type="dxa"/>
              <w:bottom w:w="68" w:type="dxa"/>
            </w:tcMar>
          </w:tcPr>
          <w:p>
            <w:pPr/>
            <w:r>
              <w:t xml:space="preserve">28 June</w:t>
            </w:r>
          </w:p>
        </w:tc>
        <w:tc>
          <w:tcPr>
            <w:tcW w:w="900" w:type="pct"/>
            <w:shd w:val="clear" w:fill="FFF4CC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</w:rPr>
              <w:t xml:space="preserve">Pending</w:t>
            </w:r>
          </w:p>
        </w:tc>
      </w:tr>
      <w:tr>
        <w:tc>
          <w:tcPr>
            <w:tcW w:w="2000" w:type="pct"/>
            <w:shd w:val="clear" w:fill="F5F8FC"/>
            <w:tcMar>
              <w:top w:w="68" w:type="dxa"/>
              <w:bottom w:w="68" w:type="dxa"/>
            </w:tcMar>
          </w:tcPr>
          <w:p>
            <w:pPr/>
            <w:r>
              <w:t xml:space="preserve">Publish runbook</w:t>
            </w:r>
          </w:p>
        </w:tc>
        <w:tc>
          <w:tcPr>
            <w:tcW w:w="1200" w:type="pct"/>
            <w:shd w:val="clear" w:fill="F5F8FC"/>
            <w:tcMar>
              <w:top w:w="68" w:type="dxa"/>
              <w:bottom w:w="68" w:type="dxa"/>
            </w:tcMar>
          </w:tcPr>
          <w:p>
            <w:pPr/>
            <w:r>
              <w:t xml:space="preserve">Delivery team</w:t>
            </w:r>
          </w:p>
        </w:tc>
        <w:tc>
          <w:tcPr>
            <w:tcW w:w="900" w:type="pct"/>
            <w:shd w:val="clear" w:fill="F5F8FC"/>
            <w:tcMar>
              <w:top w:w="68" w:type="dxa"/>
              <w:bottom w:w="68" w:type="dxa"/>
            </w:tcMar>
          </w:tcPr>
          <w:p>
            <w:pPr/>
            <w:r>
              <w:t xml:space="preserve">Done</w:t>
            </w:r>
          </w:p>
        </w:tc>
        <w:tc>
          <w:tcPr>
            <w:tcW w:w="900" w:type="pct"/>
            <w:shd w:val="clear" w:fill="E7F6ED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</w:rPr>
              <w:t xml:space="preserve">Complete</w:t>
            </w:r>
          </w:p>
        </w:tc>
      </w:tr>
      <w:tr>
        <w:tc>
          <w:tcPr>
            <w:tcW w:w="2000" w:type="pct"/>
            <w:tcMar>
              <w:top w:w="68" w:type="dxa"/>
              <w:bottom w:w="68" w:type="dxa"/>
            </w:tcMar>
          </w:tcPr>
          <w:p>
            <w:pPr/>
            <w:r>
              <w:t xml:space="preserve">Schedule health review</w:t>
            </w:r>
          </w:p>
        </w:tc>
        <w:tc>
          <w:tcPr>
            <w:tcW w:w="1200" w:type="pct"/>
            <w:tcMar>
              <w:top w:w="68" w:type="dxa"/>
              <w:bottom w:w="68" w:type="dxa"/>
            </w:tcMar>
          </w:tcPr>
          <w:p>
            <w:pPr/>
            <w:r>
              <w:t xml:space="preserve">Service owner</w:t>
            </w:r>
          </w:p>
        </w:tc>
        <w:tc>
          <w:tcPr>
            <w:tcW w:w="900" w:type="pct"/>
            <w:tcMar>
              <w:top w:w="68" w:type="dxa"/>
              <w:bottom w:w="68" w:type="dxa"/>
            </w:tcMar>
          </w:tcPr>
          <w:p>
            <w:pPr/>
            <w:r>
              <w:t xml:space="preserve">12 July</w:t>
            </w:r>
          </w:p>
        </w:tc>
        <w:tc>
          <w:tcPr>
            <w:tcW w:w="900" w:type="pct"/>
            <w:shd w:val="clear" w:fill="FFF4CC"/>
            <w:tcMar>
              <w:top w:w="68" w:type="dxa"/>
              <w:bottom w:w="68" w:type="dxa"/>
            </w:tcMar>
          </w:tcPr>
          <w:p>
            <w:pPr/>
            <w:r>
              <w:rPr>
                <w:b/>
                <w:bCs/>
              </w:rPr>
              <w:t xml:space="preserve">Planned</w:t>
            </w:r>
          </w:p>
        </w:tc>
      </w:tr>
    </w:tbl>
    <w:p>
      <w:pPr>
        <w:pBdr>
          <w:left w:val="single" w:color="235FB4" w:sz="24"/>
        </w:pBdr>
        <w:shd w:val="clear" w:fill="EAF1FB"/>
        <w:spacing w:before="160"/>
      </w:pPr>
      <w:r>
        <w:t xml:space="preserve">Decision requested: approve the delivery notes so the improvement backlog can start next sprint.</w:t>
      </w:r>
    </w:p>
    <w:sectPr w:rsidR="42D10935">
      <w:headerReference w:type="default" r:id="R974ce34b4263414a"/>
      <w:footerReference w:type="default" r:id="R98191196cfb443b1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fldSimple w:instr=" PAGE  \* MERGEFORMAT " w:dirty="true">
      <w:r>
        <w:rPr>
          <w:noProof/>
        </w:rPr>
        <w:t>[Document Page]</w:t>
      </w:r>
    </w:fldSimple>
    <w:r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rPr>
        <w:sz w:val="18"/>
      </w:rPr>
      <w:t xml:space="preserve">Northwind Operations · Quarterly service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hAnsi="Carlito" w:eastAsia="Carlito" w:cs="Carlito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974ce34b4263414a" />
  <Relationship Type="http://schemas.openxmlformats.org/officeDocument/2006/relationships/footer" Target="footer1.xml" Id="R98191196cfb443b1" />
  <Relationship Type="http://schemas.openxmlformats.org/officeDocument/2006/relationships/chart" Target="charts/chart1.xml" Id="R87dc18dd642b400d" />
</Relationships>
</file>

<file path=word/charts/_rels/chart1.xml.rels>&#65279;<?xml version="1.0" encoding="utf-8"?><Relationships xmlns="http://schemas.openxmlformats.org/package/2006/relationships"><Relationship Type="http://schemas.openxmlformats.org/officeDocument/2006/relationships/package" Target="/word/charts/embeddings/package.bin" Id="R3d1f524a880845aa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Last quarter</c:v>
                </c:pt>
              </c:strCache>
            </c:strRef>
          </c:tx>
          <c:spPr>
            <a:solidFill>
              <a:srgbClr val="1F4E79"/>
            </a:solidFill>
            <a:ln/>
          </c:spPr>
          <c:invertIfNegative val="0"/>
          <c:cat>
            <c:strRef>
              <c:f>Sheet1!$A$2:$A$7</c:f>
              <c:strCache>
                <c:ptCount val="6"/>
                <c:pt idx="0">
                  <c:v>Week 1</c:v>
                </c:pt>
                <c:pt idx="1">
                  <c:v>Week 2</c:v>
                </c:pt>
                <c:pt idx="2">
                  <c:v>Week 3</c:v>
                </c:pt>
                <c:pt idx="3">
                  <c:v>Week 4</c:v>
                </c:pt>
                <c:pt idx="4">
                  <c:v>Week 5</c:v>
                </c:pt>
                <c:pt idx="5">
                  <c:v>Week 6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14</c:v>
                </c:pt>
                <c:pt idx="1">
                  <c:v>13</c:v>
                </c:pt>
                <c:pt idx="2">
                  <c:v>16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</c:numCache>
            </c:numRef>
          </c:val>
          <c:extLst>
            <c:ext uri="urn:officeimo:chart:auto-series-color:1">
              <oi:autoColor xmlns:oi="urn:officeimo:chart:auto-series-color:1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This quarter</c:v>
                </c:pt>
              </c:strCache>
            </c:strRef>
          </c:tx>
          <c:spPr>
            <a:solidFill>
              <a:srgbClr val="2F6F3E"/>
            </a:solidFill>
            <a:ln/>
          </c:spPr>
          <c:invertIfNegative val="0"/>
          <c:cat>
            <c:strRef>
              <c:f>Sheet1!$A$2:$A$7</c:f>
              <c:strCache>
                <c:ptCount val="6"/>
                <c:pt idx="0">
                  <c:v>Week 1</c:v>
                </c:pt>
                <c:pt idx="1">
                  <c:v>Week 2</c:v>
                </c:pt>
                <c:pt idx="2">
                  <c:v>Week 3</c:v>
                </c:pt>
                <c:pt idx="3">
                  <c:v>Week 4</c:v>
                </c:pt>
                <c:pt idx="4">
                  <c:v>Week 5</c:v>
                </c:pt>
                <c:pt idx="5">
                  <c:v>Week 6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11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</c:numCache>
            </c:numRef>
          </c:val>
          <c:extLst>
            <c:ext uri="urn:officeimo:chart:auto-series-color:1">
              <oi:autoColor xmlns:oi="urn:officeimo:chart:auto-series-color:1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0"/>
        <c:axId val="48650113"/>
        <c:axId val="48650114"/>
      </c:barChart>
      <c:catAx>
        <c:axId val="48650113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48650114"/>
        <c:crosses val="autoZero"/>
        <c:auto val="1"/>
        <c:lblAlgn val="ctr"/>
        <c:lblOffset val="100"/>
        <c:noMultiLvlLbl val="0"/>
      </c:catAx>
      <c:valAx>
        <c:axId val="48650114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48650113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3d1f524a880845aa">
    <c:autoUpdate val="0"/>
  </c:externalData>
</c:chartSpace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