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057172ecc6fb428d" />
  <Relationship Type="http://schemas.openxmlformats.org/package/2006/relationships/metadata/core-properties" Target="package/services/metadata/core-properties/6542f134e456410e8df00d8947004eb0.psmdcp" Id="Rf5473f01d5504edb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spacing w:after="240"/>
      </w:pPr>
      <w:r>
        <w:rPr>
          <w:rFonts w:ascii="Carlito" w:hAnsi="Carlito" w:eastAsia="Carlito" w:cs="Carlito"/>
          <w:b/>
          <w:bCs/>
          <w:sz w:val="52"/>
        </w:rPr>
        <w:t xml:space="preserve">Project charter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NORTHWIND / CUSTOMER PORTAL / VERSION 1.0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Give the delivery team one agreed reference for the outcome, scope, and acceptance decision.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Outcome and boundaries</w:t>
      </w:r>
      <w:bookmarkStart w:name="Scope" w:id="1"/>
      <w:bookmarkEnd w:id="1"/>
      <w:r>
        <w:rPr>
          <w:rFonts w:ascii="Carlito" w:hAnsi="Carlito" w:eastAsia="Carlito" w:cs="Carlito"/>
          <w:b/>
          <w:bCs/>
          <w:sz w:val="30"/>
        </w:rPr>
      </w:r>
    </w:p>
    <w:p>
      <w:pPr>
        <w:pStyle w:val="ListParagraph"/>
        <w:numPr>
          <w:ilvl w:val="0"/>
          <w:numId w:val="1"/>
        </w:numPr>
        <w:spacing w:after="140"/>
      </w:pPr>
      <w:r>
        <w:rPr>
          <w:rFonts w:ascii="Carlito" w:hAnsi="Carlito" w:eastAsia="Carlito" w:cs="Carlito"/>
          <w:sz w:val="22"/>
        </w:rPr>
        <w:t xml:space="preserve">Provide a single place to submit and track service requests.</w:t>
      </w:r>
    </w:p>
    <w:p>
      <w:pPr>
        <w:pStyle w:val="ListParagraph"/>
        <w:numPr>
          <w:ilvl w:val="0"/>
          <w:numId w:val="1"/>
        </w:numPr>
        <w:spacing w:after="140"/>
      </w:pPr>
      <w:r>
        <w:rPr>
          <w:rFonts w:ascii="Carlito" w:hAnsi="Carlito" w:eastAsia="Carlito" w:cs="Carlito"/>
          <w:sz w:val="22"/>
        </w:rPr>
        <w:t xml:space="preserve">Include request history and a clear escalation path.</w:t>
      </w:r>
    </w:p>
    <w:p>
      <w:pPr>
        <w:pStyle w:val="ListParagraph"/>
        <w:numPr>
          <w:ilvl w:val="0"/>
          <w:numId w:val="1"/>
        </w:numPr>
        <w:spacing w:after="140"/>
      </w:pPr>
      <w:r>
        <w:rPr>
          <w:rFonts w:ascii="Carlito" w:hAnsi="Carlito" w:eastAsia="Carlito" w:cs="Carlito"/>
          <w:sz w:val="22"/>
        </w:rPr>
        <w:t xml:space="preserve">Keep billing and account administration outside this release.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Delivery milestones</w:t>
      </w:r>
    </w:p>
    <w:tbl>
      <w:tblPr>
        <w:tblStyle w:val="TableGrid"/>
        <w:tblW w:w="5000" w:type="pct"/>
        <w:tblLayout w:type="fixed"/>
        <w:tblLook w:val="04A0"/>
      </w:tblPr>
      <w:tblGrid>
        <w:gridCol w:w="2340"/>
        <w:gridCol w:w="2059"/>
        <w:gridCol w:w="4961"/>
      </w:tblGrid>
      <w:tr>
        <w:tc>
          <w:tcPr>
            <w:tcW w:w="125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Milestone</w:t>
            </w:r>
          </w:p>
        </w:tc>
        <w:tc>
          <w:tcPr>
            <w:tcW w:w="110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Owner</w:t>
            </w:r>
          </w:p>
        </w:tc>
        <w:tc>
          <w:tcPr>
            <w:tcW w:w="265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Acceptance evidence</w:t>
            </w:r>
          </w:p>
        </w:tc>
      </w:tr>
      <w:tr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Discovery</w:t>
            </w:r>
          </w:p>
        </w:tc>
        <w:tc>
          <w:tcPr>
            <w:tcW w:w="11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Product</w:t>
            </w:r>
          </w:p>
        </w:tc>
        <w:tc>
          <w:tcPr>
            <w:tcW w:w="26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Reviewed service journey</w:t>
            </w:r>
          </w:p>
        </w:tc>
      </w:tr>
      <w:tr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Pilot</w:t>
            </w:r>
          </w:p>
        </w:tc>
        <w:tc>
          <w:tcPr>
            <w:tcW w:w="11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Engineering</w:t>
            </w:r>
          </w:p>
        </w:tc>
        <w:tc>
          <w:tcPr>
            <w:tcW w:w="26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Ten completed pilot requests</w:t>
            </w:r>
          </w:p>
        </w:tc>
      </w:tr>
      <w:tr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Launch</w:t>
            </w:r>
          </w:p>
        </w:tc>
        <w:tc>
          <w:tcPr>
            <w:tcW w:w="11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Operations</w:t>
            </w:r>
          </w:p>
        </w:tc>
        <w:tc>
          <w:tcPr>
            <w:tcW w:w="26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Support and recovery walkthrough</w:t>
            </w:r>
          </w:p>
        </w:tc>
      </w:tr>
    </w:tbl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Success measure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At least 90% of pilot requests reach the right team without manual reassignment.</w:t>
      </w:r>
    </w:p>
    <w:sectPr w:rsidR="28730174"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76F9BDB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numbering" Target="numbering.xml" Id="Rbad72c86e1254943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