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numbering.xml" ContentType="application/vnd.openxmlformats-officedocument.wordprocessingml.numbering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e1fd1ade37d84a3e" />
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after="280"/>
      </w:pPr>
      <w:r>
        <w:rPr>
          <w:b w:val="true"/>
          <w:bCs w:val="true"/>
          <w:color w:val="17365D"/>
          <w:sz w:val="52"/>
        </w:rPr>
        <w:t xml:space="preserve">Patch compliance report</w:t>
      </w:r>
    </w:p>
    <w:p>
      <w:pPr/>
      <w:r>
        <w:rPr>
          <w:b w:val="true"/>
          <w:bCs w:val="true"/>
          <w:color w:val="166534"/>
          <w:sz w:val="40"/>
        </w:rPr>
        <w:t xml:space="preserve">93.2%</w:t>
      </w:r>
      <w:r>
        <w:rPr>
          <w:sz w:val="24"/>
        </w:rPr>
        <w:t xml:space="preserve">  of 311 production servers are patched, 21 are pending.</w:t>
      </w:r>
    </w:p>
    <w:p>
      <w:pPr>
        <w:pStyle w:val="Heading1"/>
        <w:keepNext/>
        <w:spacing w:before="320" w:after="160"/>
      </w:pPr>
      <w:r>
        <w:rPr>
          <w:b w:val="true"/>
          <w:bCs w:val="true"/>
          <w:color w:val="17365D"/>
          <w:sz w:val="30"/>
        </w:rPr>
        <w:t xml:space="preserve">Compliance by site</w:t>
      </w:r>
    </w:p>
    <w:tbl>
      <w:tblPr>
        <w:tblStyle w:val="GridTable4-Accent1"/>
        <w:tblW w:w="5000" w:type="pct"/>
        <w:tblLayout w:type="fixed"/>
        <w:tblLook w:val="04A0"/>
      </w:tblPr>
      <w:tblGrid>
        <w:gridCol w:w="1559"/>
        <w:gridCol w:w="1559"/>
        <w:gridCol w:w="1559"/>
        <w:gridCol w:w="1559"/>
        <w:gridCol w:w="1559"/>
        <w:gridCol w:w="1565"/>
      </w:tblGrid>
      <w:tr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Site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Servers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Patched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Pending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Compliance</w:t>
            </w:r>
          </w:p>
        </w:tc>
        <w:tc>
          <w:tcPr>
            <w:tcW w:w="835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Status</w:t>
            </w:r>
          </w:p>
        </w:tc>
      </w:tr>
      <w:tr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Warsaw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84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80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4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95.2%</w:t>
            </w:r>
          </w:p>
        </w:tc>
        <w:tc>
          <w:tcPr>
            <w:tcW w:w="835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On target</w:t>
            </w:r>
          </w:p>
        </w:tc>
      </w:tr>
      <w:tr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Frankfurt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66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58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8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87.9%</w:t>
            </w:r>
          </w:p>
        </w:tc>
        <w:tc>
          <w:tcPr>
            <w:tcW w:w="835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Watch</w:t>
            </w:r>
          </w:p>
        </w:tc>
      </w:tr>
      <w:tr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Dublin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52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50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96.2%</w:t>
            </w:r>
          </w:p>
        </w:tc>
        <w:tc>
          <w:tcPr>
            <w:tcW w:w="835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On target</w:t>
            </w:r>
          </w:p>
        </w:tc>
      </w:tr>
      <w:tr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Chicago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71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69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2</w:t>
            </w:r>
          </w:p>
        </w:tc>
        <w:tc>
          <w:tcPr>
            <w:tcW w:w="833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97.2%</w:t>
            </w:r>
          </w:p>
        </w:tc>
        <w:tc>
          <w:tcPr>
            <w:tcW w:w="835" w:type="pct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On target</w:t>
            </w:r>
          </w:p>
        </w:tc>
      </w:tr>
      <w:tr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Singapore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38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33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5</w:t>
            </w:r>
          </w:p>
        </w:tc>
        <w:tc>
          <w:tcPr>
            <w:tcW w:w="833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86.8%</w:t>
            </w:r>
          </w:p>
        </w:tc>
        <w:tc>
          <w:tcPr>
            <w:tcW w:w="835" w:type="pct"/>
            <w:shd w:val="clear" w:fill="FFF4D6"/>
            <w:tcMar>
              <w:top w:w="68" w:type="dxa"/>
              <w:left w:w="91" w:type="dxa"/>
              <w:bottom w:w="68" w:type="dxa"/>
              <w:right w:w="91" w:type="dxa"/>
            </w:tcMar>
          </w:tcPr>
          <w:p>
            <w:pPr/>
            <w:r>
              <w:t xml:space="preserve">Watch</w:t>
            </w:r>
          </w:p>
        </w:tc>
      </w:tr>
    </w:tbl>
    <w:p>
      <w:pPr>
        <w:spacing w:before="280" w:after="240"/>
      </w:pPr>
    </w:p>
    <w:p>
      <w:pPr/>
      <w:r>
        <w:drawing>
          <wp:inline xmlns:wp="http://schemas.openxmlformats.org/drawingml/2006/wordprocessingDrawing">
            <wp:extent cx="5943600" cy="2476500"/>
            <wp:effectExtent l="0" t="0" r="19050" b="19050"/>
            <wp:docPr id="1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2ed18fd64e6044cb"/>
              </a:graphicData>
            </a:graphic>
          </wp:inline>
        </w:drawing>
      </w:r>
    </w:p>
    <w:p>
      <w:pPr>
        <w:pStyle w:val="Heading1"/>
        <w:keepNext/>
        <w:spacing w:before="200" w:after="160"/>
      </w:pPr>
      <w:r>
        <w:rPr>
          <w:b w:val="true"/>
          <w:bCs w:val="true"/>
          <w:color w:val="17365D"/>
          <w:sz w:val="30"/>
        </w:rP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t xml:space="preserve">Frankfurt: patch the eight pending servers in the Thursday window.</w:t>
      </w:r>
    </w:p>
    <w:p>
      <w:pPr>
        <w:pStyle w:val="ListParagraph"/>
        <w:numPr>
          <w:ilvl w:val="0"/>
          <w:numId w:val="1"/>
        </w:numPr>
      </w:pPr>
      <w:r>
        <w:t xml:space="preserve">Singapore: confirm the maintenance slot with the regional owner.</w:t>
      </w:r>
    </w:p>
    <w:sectPr w:rsidR="C2535899">
      <w:headerReference w:type="default" r:id="Rda69f41807244ee0"/>
      <w:footerReference w:type="default" r:id="R3e058acced924066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/>
    <w:r/>
    <w:fldSimple w:instr=" PAGE  \* MERGEFORMAT " w:dirty="true">
      <w:r>
        <w:rPr>
          <w:noProof/>
        </w:rPr>
        <w:t>[Document Page]</w:t>
      </w:r>
    </w:fldSimple>
    <w:r>
      <w:rPr/>
      <w:t xml:space="preserve"> of </w:t>
    </w:r>
    <w:fldSimple w:instr=" NUMPAGES  \* MERGEFORMAT " w:dirty="true">
      <w:r>
        <w:rPr>
          <w:noProof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t xml:space="preserve">Contoso IT operations - week 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417122"/>
    <w:multiLevelType w:val="hybridMultilevel"/>
    <w:tmpl w:val="25BE4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true">
      <w:start w:val="1"/>
      <w:numFmt w:val="lowerLetter"/>
      <w:lvlText w:val="%2."/>
      <w:lvlJc w:val="left"/>
      <w:pPr>
        <w:ind w:left="1440" w:hanging="360"/>
      </w:pPr>
    </w:lvl>
    <w:lvl w:ilvl="2" w:tplc="0409001B" w:tentative="true">
      <w:start w:val="1"/>
      <w:numFmt w:val="lowerRoman"/>
      <w:lvlText w:val="%3."/>
      <w:lvlJc w:val="left"/>
      <w:pPr>
        <w:ind w:left="2160" w:hanging="180"/>
      </w:pPr>
    </w:lvl>
    <w:lvl w:ilvl="3" w:tplc="0409000F" w:tentative="true">
      <w:start w:val="1"/>
      <w:numFmt w:val="decimal"/>
      <w:lvlText w:val="%4."/>
      <w:lvlJc w:val="left"/>
      <w:pPr>
        <w:ind w:left="2880" w:hanging="360"/>
      </w:pPr>
    </w:lvl>
    <w:lvl w:ilvl="4" w:tplc="04090019" w:tentative="true">
      <w:start w:val="1"/>
      <w:numFmt w:val="lowerLetter"/>
      <w:lvlText w:val="%5."/>
      <w:lvlJc w:val="left"/>
      <w:pPr>
        <w:ind w:left="3600" w:hanging="360"/>
      </w:pPr>
    </w:lvl>
    <w:lvl w:ilvl="5" w:tplc="0409001B" w:tentative="true">
      <w:start w:val="1"/>
      <w:numFmt w:val="lowerRoman"/>
      <w:lvlText w:val="%6."/>
      <w:lvlJc w:val="left"/>
      <w:pPr>
        <w:ind w:left="4320" w:hanging="180"/>
      </w:pPr>
    </w:lvl>
    <w:lvl w:ilvl="6" w:tplc="0409000F" w:tentative="true">
      <w:start w:val="1"/>
      <w:numFmt w:val="decimal"/>
      <w:lvlText w:val="%7."/>
      <w:lvlJc w:val="left"/>
      <w:pPr>
        <w:ind w:left="5040" w:hanging="360"/>
      </w:pPr>
    </w:lvl>
    <w:lvl w:ilvl="7" w:tplc="04090019" w:tentative="true">
      <w:start w:val="1"/>
      <w:numFmt w:val="lowerLetter"/>
      <w:lvlText w:val="%8."/>
      <w:lvlJc w:val="left"/>
      <w:pPr>
        <w:ind w:left="5760" w:hanging="360"/>
      </w:pPr>
    </w:lvl>
    <w:lvl w:ilvl="8" w:tplc="0409001B" w:tentative="true">
      <w:start w:val="1"/>
      <w:numFmt w:val="lowerRoman"/>
      <w:lvlText w:val="%9."/>
      <w:lvlJc w:val="lef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hAnsi="Aptos" w:eastAsia="Aptos" w:cs="Aptos"/>
        <w:color w:val="1B2433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rFonts w:ascii="Aptos" w:hAnsi="Aptos" w:eastAsia="Aptos" w:cs="Aptos"/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da69f41807244ee0" />
  <Relationship Type="http://schemas.openxmlformats.org/officeDocument/2006/relationships/footer" Target="footer1.xml" Id="R3e058acced924066" />
  <Relationship Type="http://schemas.openxmlformats.org/officeDocument/2006/relationships/chart" Target="charts/chart1.xml" Id="R2ed18fd64e6044cb" />
  <Relationship Type="http://schemas.openxmlformats.org/officeDocument/2006/relationships/numbering" Target="numbering.xml" Id="Rc32a86709c45454e" 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lstStyle/>
          <a:p>
            <a:pPr>
              <a:defRPr/>
            </a:pPr>
            <a:r>
              <a:t>Patched and pending by site</a:t>
            </a:r>
          </a:p>
        </c:rich>
      </c:tx>
      <c:overlay val="0"/>
      <c:txPr>
        <a:bodyPr/>
        <a:lstStyle/>
        <a:p>
          <a:pPr>
            <a:defRPr sz="1200">
              <a:solidFill>
                <a:srgbClr val="1B2433"/>
              </a:solidFill>
              <a:latin typeface="Aptos"/>
            </a:defRPr>
          </a:pPr>
          <a:endParaRPr/>
        </a:p>
      </c:txPr>
    </c:title>
    <c:autoTitleDeleted val="0"/>
    <c:plotArea>
      <c:layout/>
      <c:barChart xmlns:c="http://schemas.openxmlformats.org/drawingml/2006/chart">
        <c:barDir val="bar"/>
        <c:grouping val="clustered"/>
        <c:ser>
          <c:idx val="0"/>
          <c:order val="0"/>
          <c:tx>
            <c:v>Patched</c:v>
          </c:tx>
          <c:spPr>
            <a:solidFill>
              <a:srgbClr val="1F77B4"/>
            </a:solidFill>
          </c:spPr>
          <c:invertIfNegative/>
          <c:cat>
            <c:strLit>
              <c:ptCount val="5"/>
              <c:pt idx="0">
                <c:v>Warsaw</c:v>
              </c:pt>
              <c:pt idx="1">
                <c:v>Frankfurt</c:v>
              </c:pt>
              <c:pt idx="2">
                <c:v>Dublin</c:v>
              </c:pt>
              <c:pt idx="3">
                <c:v>Chicago</c:v>
              </c:pt>
              <c:pt idx="4">
                <c:v>Singapore</c:v>
              </c:pt>
            </c:strLit>
          </c:cat>
          <c:val>
            <c:numLit>
              <c:formatCode>General</c:formatCode>
              <c:ptCount val="5"/>
              <c:pt idx="0">
                <c:v>80</c:v>
              </c:pt>
              <c:pt idx="1">
                <c:v>58</c:v>
              </c:pt>
              <c:pt idx="2">
                <c:v>50</c:v>
              </c:pt>
              <c:pt idx="3">
                <c:v>69</c:v>
              </c:pt>
              <c:pt idx="4">
                <c:v>33</c:v>
              </c:pt>
            </c:numLit>
          </c:val>
        </c:ser>
        <c:ser>
          <c:idx val="1"/>
          <c:order val="1"/>
          <c:tx>
            <c:v>Pending</c:v>
          </c:tx>
          <c:spPr>
            <a:solidFill>
              <a:srgbClr val="FF7F0E"/>
            </a:solidFill>
          </c:spPr>
          <c:invertIfNegative/>
          <c:cat>
            <c:strLit>
              <c:ptCount val="5"/>
              <c:pt idx="0">
                <c:v>Warsaw</c:v>
              </c:pt>
              <c:pt idx="1">
                <c:v>Frankfurt</c:v>
              </c:pt>
              <c:pt idx="2">
                <c:v>Dublin</c:v>
              </c:pt>
              <c:pt idx="3">
                <c:v>Chicago</c:v>
              </c:pt>
              <c:pt idx="4">
                <c:v>Singapore</c:v>
              </c:pt>
            </c:strLit>
          </c:cat>
          <c:val>
            <c:numLit>
              <c:formatCode>General</c:formatCode>
              <c:ptCount val="5"/>
              <c:pt idx="0">
                <c:v>4</c:v>
              </c:pt>
              <c:pt idx="1">
                <c:v>8</c:v>
              </c:pt>
              <c:pt idx="2">
                <c:v>2</c:v>
              </c:pt>
              <c:pt idx="3">
                <c:v>2</c:v>
              </c:pt>
              <c:pt idx="4">
                <c:v>5</c:v>
              </c:pt>
            </c:numLit>
          </c:val>
        </c:ser>
        <c:dLbls xmlns:c="http://schemas.openxmlformats.org/drawingml/2006/chart">
          <c:txPr>
            <a:bodyPr/>
            <a:lstStyle/>
            <a:p>
              <a:pPr>
                <a:defRPr sz="900">
                  <a:solidFill>
                    <a:srgbClr val="1B2433"/>
                  </a:solidFill>
                  <a:latin typeface="Aptos"/>
                </a:defRPr>
              </a:pPr>
              <a:endParaRPr/>
            </a:p>
          </c:txPr>
          <c:showLegendKey val="0"/>
          <c:showVal val="1"/>
          <c:showCatName val="0"/>
          <c:showSerName val="0"/>
          <c:showPercent val="1"/>
          <c:showBubbleSize val="0"/>
          <c:showLeaderLines val="0"/>
        </c:dLbls>
        <c:gapWidth val="60"/>
        <c:overlap val="0"/>
        <c:axId xmlns:c="http://schemas.openxmlformats.org/drawingml/2006/chart" val="148921729"/>
        <c:axId xmlns:c="http://schemas.openxmlformats.org/drawingml/2006/chart" val="148921730"/>
      </c:barChart>
      <c:catAx xmlns:c="http://schemas.openxmlformats.org/drawingml/2006/chart">
        <c:axId val="148921729"/>
        <c:scaling>
          <c:orientation val="minMax"/>
        </c:scaling>
        <c:delete val="0"/>
        <c:axPos val="l"/>
        <c:majorTickMark val="out"/>
        <c:minorTickMark val="none"/>
        <c:tickLblPos val="nextTo"/>
        <c:spPr>
          <a:ln w="6350">
            <a:solidFill>
              <a:srgbClr val="C9D0DA"/>
            </a:solidFill>
          </a:ln>
        </c:spPr>
        <c:txPr>
          <a:bodyPr/>
          <a:lstStyle/>
          <a:p>
            <a:pPr>
              <a:defRPr sz="900">
                <a:solidFill>
                  <a:srgbClr val="5B6575"/>
                </a:solidFill>
                <a:latin typeface="Aptos"/>
              </a:defRPr>
            </a:pPr>
            <a:endParaRPr/>
          </a:p>
        </c:txPr>
        <c:crossAx val="14892173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48921730"/>
        <c:scaling>
          <c:orientation val="minMax"/>
        </c:scaling>
        <c:delete val="0"/>
        <c:axPos val="b"/>
        <c:majorGridlines>
          <c:spPr>
            <a:ln w="6350">
              <a:solidFill>
                <a:srgbClr val="E6EAF0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6350">
            <a:noFill/>
          </a:ln>
        </c:spPr>
        <c:txPr>
          <a:bodyPr/>
          <a:lstStyle/>
          <a:p>
            <a:pPr>
              <a:defRPr sz="900">
                <a:solidFill>
                  <a:srgbClr val="5B6575"/>
                </a:solidFill>
                <a:latin typeface="Aptos"/>
              </a:defRPr>
            </a:pPr>
            <a:endParaRPr/>
          </a:p>
        </c:txPr>
        <c:crossAx val="148921729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900">
          <a:solidFill>
            <a:srgbClr val="1B2433"/>
          </a:solidFill>
          <a:latin typeface="Aptos"/>
        </a:defRPr>
      </a:pPr>
      <a:endParaRPr/>
    </a:p>
  </c:txPr>
</c:chartSpace>
</file>

<file path=word/theme/theme1.xml><?xml version="1.0" encoding="utf-8"?>
<a:theme xmlns:thm15="http://schemas.microsoft.com/office/thememl/2012/main" xmlns:a="http://schemas.openxmlformats.org/drawingml/2006/main" name="Modern">
  <a:themeElements>
    <a:clrScheme name="Modern">
      <a:dk1>
        <a:srgbClr val="1B2433"/>
      </a:dk1>
      <a:lt1>
        <a:srgbClr val="FFFFFF"/>
      </a:lt1>
      <a:dk2>
        <a:srgbClr val="5B6575"/>
      </a:dk2>
      <a:lt2>
        <a:srgbClr val="F6F8FB"/>
      </a:lt2>
      <a:accent1>
        <a:srgbClr val="3F64D7"/>
      </a:accent1>
      <a:accent2>
        <a:srgbClr val="DC7536"/>
      </a:accent2>
      <a:accent3>
        <a:srgbClr val="058E80"/>
      </a:accent3>
      <a:accent4>
        <a:srgbClr val="A52758"/>
      </a:accent4>
      <a:accent5>
        <a:srgbClr val="3F2F6B"/>
      </a:accent5>
      <a:accent6>
        <a:srgbClr val="255319"/>
      </a:accent6>
      <a:hlink>
        <a:srgbClr val="3F64D7"/>
      </a:hlink>
      <a:folHlink>
        <a:srgbClr val="DC7536"/>
      </a:folHlink>
    </a:clrScheme>
    <a:fontScheme name="Modern">
      <a:majorFont>
        <a:latin typeface="Aptos"/>
        <a:ea typeface="Aptos"/>
        <a:cs typeface="Apto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Aptos"/>
        <a:cs typeface="Apto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