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pPr/>
      <w:r>
        <w:rPr>
          <w:b/>
          <w:sz w:val="28"/>
        </w:rPr>
        <w:t>Classic style 2 clustered column</w:t>
      </w:r>
    </w:p>
    <w:p>
      <w:r>
        <w:drawing>
          <wp:inline distT="0" distB="0" distL="0" distR="0">
            <wp:extent cx="5486400" cy="3200400"/>
            <wp:docPr id="1" name="Chart 1"/>
            <wp:cNvGraphicFramePr/>
            <a:graphic>
              <a:graphicData uri="http://schemas.openxmlformats.org/drawingml/2006/chart">
                <c:chart xmlns:c="http://schemas.openxmlformats.org/drawingml/2006/chart" r:id="rId2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Classic style 2 with eight series</w:t>
      </w:r>
    </w:p>
    <w:p>
      <w:r>
        <w:drawing>
          <wp:inline distT="0" distB="0" distL="0" distR="0">
            <wp:extent cx="5486400" cy="3200400"/>
            <wp:docPr id="2" name="Chart 2"/>
            <wp:cNvGraphicFramePr/>
            <a:graphic>
              <a:graphicData uri="http://schemas.openxmlformats.org/drawingml/2006/chart">
                <c:chart xmlns:c="http://schemas.openxmlformats.org/drawingml/2006/chart" r:id="rId3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Colourful palette 1 with eight series</w:t>
      </w:r>
    </w:p>
    <w:p>
      <w:r>
        <w:drawing>
          <wp:inline distT="0" distB="0" distL="0" distR="0">
            <wp:extent cx="5486400" cy="3200400"/>
            <wp:docPr id="3" name="Chart 3"/>
            <wp:cNvGraphicFramePr/>
            <a:graphic>
              <a:graphicData uri="http://schemas.openxmlformats.org/drawingml/2006/chart">
                <c:chart xmlns:c="http://schemas.openxmlformats.org/drawingml/2006/chart" r:id="rId4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Clustered bar</w:t>
      </w:r>
    </w:p>
    <w:p>
      <w:r>
        <w:drawing>
          <wp:inline distT="0" distB="0" distL="0" distR="0">
            <wp:extent cx="5486400" cy="3200400"/>
            <wp:docPr id="4" name="Chart 4"/>
            <wp:cNvGraphicFramePr/>
            <a:graphic>
              <a:graphicData uri="http://schemas.openxmlformats.org/drawingml/2006/chart">
                <c:chart xmlns:c="http://schemas.openxmlformats.org/drawingml/2006/chart" r:id="rId5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Line with markers</w:t>
      </w:r>
    </w:p>
    <w:p>
      <w:r>
        <w:drawing>
          <wp:inline distT="0" distB="0" distL="0" distR="0">
            <wp:extent cx="5486400" cy="3200400"/>
            <wp:docPr id="5" name="Chart 5"/>
            <wp:cNvGraphicFramePr/>
            <a:graphic>
              <a:graphicData uri="http://schemas.openxmlformats.org/drawingml/2006/chart">
                <c:chart xmlns:c="http://schemas.openxmlformats.org/drawingml/2006/chart" r:id="rId6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Classic line</w:t>
      </w:r>
    </w:p>
    <w:p>
      <w:r>
        <w:drawing>
          <wp:inline distT="0" distB="0" distL="0" distR="0">
            <wp:extent cx="5486400" cy="3200400"/>
            <wp:docPr id="6" name="Chart 6"/>
            <wp:cNvGraphicFramePr/>
            <a:graphic>
              <a:graphicData uri="http://schemas.openxmlformats.org/drawingml/2006/chart">
                <c:chart xmlns:c="http://schemas.openxmlformats.org/drawingml/2006/chart" r:id="rId7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Area</w:t>
      </w:r>
    </w:p>
    <w:p>
      <w:r>
        <w:drawing>
          <wp:inline distT="0" distB="0" distL="0" distR="0">
            <wp:extent cx="5486400" cy="3200400"/>
            <wp:docPr id="7" name="Chart 7"/>
            <wp:cNvGraphicFramePr/>
            <a:graphic>
              <a:graphicData uri="http://schemas.openxmlformats.org/drawingml/2006/chart">
                <c:chart xmlns:c="http://schemas.openxmlformats.org/drawingml/2006/chart" r:id="rId8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Scatter</w:t>
      </w:r>
    </w:p>
    <w:p>
      <w:r>
        <w:drawing>
          <wp:inline distT="0" distB="0" distL="0" distR="0">
            <wp:extent cx="5486400" cy="3200400"/>
            <wp:docPr id="8" name="Chart 8"/>
            <wp:cNvGraphicFramePr/>
            <a:graphic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Classic pie</w:t>
      </w:r>
    </w:p>
    <w:p>
      <w:r>
        <w:drawing>
          <wp:inline distT="0" distB="0" distL="0" distR="0">
            <wp:extent cx="5486400" cy="3200400"/>
            <wp:docPr id="9" name="Chart 9"/>
            <wp:cNvGraphicFramePr/>
            <a:graphic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Pie with eight slices</w:t>
      </w:r>
    </w:p>
    <w:p>
      <w:r>
        <w:drawing>
          <wp:inline distT="0" distB="0" distL="0" distR="0">
            <wp:extent cx="5486400" cy="3200400"/>
            <wp:docPr id="10" name="Chart 10"/>
            <wp:cNvGraphicFramePr/>
            <a:graphic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Stock high-low-close</w:t>
      </w:r>
    </w:p>
    <w:p>
      <w:r>
        <w:drawing>
          <wp:inline distT="0" distB="0" distL="0" distR="0">
            <wp:extent cx="5486400" cy="3200400"/>
            <wp:docPr id="11" name="Chart 11"/>
            <wp:cNvGraphicFramePr/>
            <a:graphic>
              <a:graphicData uri="http://schemas.openxmlformats.org/drawingml/2006/chart">
                <c:chart xmlns:c="http://schemas.openxmlformats.org/drawingml/2006/chart" r:id="rId12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Monochromatic palette 1</w:t>
      </w:r>
    </w:p>
    <w:p>
      <w:r>
        <w:drawing>
          <wp:inline distT="0" distB="0" distL="0" distR="0">
            <wp:extent cx="5486400" cy="3200400"/>
            <wp:docPr id="12" name="Chart 12"/>
            <wp:cNvGraphicFramePr/>
            <a:graphic>
              <a:graphicData uri="http://schemas.openxmlformats.org/drawingml/2006/chart">
                <c:chart xmlns:c="http://schemas.openxmlformats.org/drawingml/2006/chart" r:id="rId13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Classic style 4 monochrome</w:t>
      </w:r>
    </w:p>
    <w:p>
      <w:r>
        <w:drawing>
          <wp:inline distT="0" distB="0" distL="0" distR="0">
            <wp:extent cx="5486400" cy="3200400"/>
            <wp:docPr id="13" name="Chart 13"/>
            <wp:cNvGraphicFramePr/>
            <a:graphic>
              <a:graphicData uri="http://schemas.openxmlformats.org/drawingml/2006/chart">
                <c:chart xmlns:c="http://schemas.openxmlformats.org/drawingml/2006/chart" r:id="rId14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Classic style 1 greyscale</w:t>
      </w:r>
    </w:p>
    <w:p>
      <w:r>
        <w:drawing>
          <wp:inline distT="0" distB="0" distL="0" distR="0">
            <wp:extent cx="5486400" cy="3200400"/>
            <wp:docPr id="14" name="Chart 14"/>
            <wp:cNvGraphicFramePr/>
            <a:graphic>
              <a:graphicData uri="http://schemas.openxmlformats.org/drawingml/2006/chart">
                <c:chart xmlns:c="http://schemas.openxmlformats.org/drawingml/2006/chart" r:id="rId15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Pie with monochromatic palette</w:t>
      </w:r>
    </w:p>
    <w:p>
      <w:r>
        <w:drawing>
          <wp:inline distT="0" distB="0" distL="0" distR="0">
            <wp:extent cx="5486400" cy="3200400"/>
            <wp:docPr id="15" name="Chart 15"/>
            <wp:cNvGraphicFramePr/>
            <a:graphic>
              <a:graphicData uri="http://schemas.openxmlformats.org/drawingml/2006/chart">
                <c:chart xmlns:c="http://schemas.openxmlformats.org/drawingml/2006/chart" r:id="rId16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Doughnut with two rings</w:t>
      </w:r>
    </w:p>
    <w:p>
      <w:r>
        <w:drawing>
          <wp:inline distT="0" distB="0" distL="0" distR="0">
            <wp:extent cx="5486400" cy="3200400"/>
            <wp:docPr id="16" name="Chart 16"/>
            <wp:cNvGraphicFramePr/>
            <a:graphic>
              <a:graphicData uri="http://schemas.openxmlformats.org/drawingml/2006/chart">
                <c:chart xmlns:c="http://schemas.openxmlformats.org/drawingml/2006/chart" r:id="rId17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Classic style 2 with six series</w:t>
      </w:r>
    </w:p>
    <w:p>
      <w:r>
        <w:drawing>
          <wp:inline distT="0" distB="0" distL="0" distR="0">
            <wp:extent cx="5486400" cy="3200400"/>
            <wp:docPr id="17" name="Chart 17"/>
            <wp:cNvGraphicFramePr/>
            <a:graphic>
              <a:graphicData uri="http://schemas.openxmlformats.org/drawingml/2006/chart">
                <c:chart xmlns:c="http://schemas.openxmlformats.org/drawingml/2006/chart" r:id="rId18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Classic style 2 with twelve series</w:t>
      </w:r>
    </w:p>
    <w:p>
      <w:r>
        <w:drawing>
          <wp:inline distT="0" distB="0" distL="0" distR="0">
            <wp:extent cx="5486400" cy="3200400"/>
            <wp:docPr id="18" name="Chart 18"/>
            <wp:cNvGraphicFramePr/>
            <a:graphic>
              <a:graphicData uri="http://schemas.openxmlformats.org/drawingml/2006/chart">
                <c:chart xmlns:c="http://schemas.openxmlformats.org/drawingml/2006/chart" r:id="rId19"/>
              </a:graphicData>
            </a:graphic>
          </wp:inline>
        </w:drawing>
      </w:r>
    </w:p>
    <w:p>
      <w:pPr>
        <w:pageBreakBefore/>
      </w:pPr>
      <w:r>
        <w:rPr>
          <w:b/>
          <w:sz w:val="28"/>
        </w:rPr>
        <w:t>Classic style 1 with four series</w:t>
      </w:r>
    </w:p>
    <w:p>
      <w:r>
        <w:drawing>
          <wp:inline distT="0" distB="0" distL="0" distR="0">
            <wp:extent cx="5486400" cy="3200400"/>
            <wp:docPr id="19" name="Chart 19"/>
            <wp:cNvGraphicFramePr/>
            <a:graphic>
              <a:graphicData uri="http://schemas.openxmlformats.org/drawingml/2006/chart">
                <c:chart xmlns:c="http://schemas.openxmlformats.org/drawingml/2006/chart" r:id="rId20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chart" Target="charts/chart4.xml"/><Relationship Id="rId6" Type="http://schemas.openxmlformats.org/officeDocument/2006/relationships/chart" Target="charts/chart5.xml"/><Relationship Id="rId7" Type="http://schemas.openxmlformats.org/officeDocument/2006/relationships/chart" Target="charts/chart6.xml"/><Relationship Id="rId8" Type="http://schemas.openxmlformats.org/officeDocument/2006/relationships/chart" Target="charts/chart7.xml"/><Relationship Id="rId9" Type="http://schemas.openxmlformats.org/officeDocument/2006/relationships/chart" Target="charts/chart8.xml"/><Relationship Id="rId10" Type="http://schemas.openxmlformats.org/officeDocument/2006/relationships/chart" Target="charts/chart9.xml"/><Relationship Id="rId11" Type="http://schemas.openxmlformats.org/officeDocument/2006/relationships/chart" Target="charts/chart10.xml"/><Relationship Id="rId12" Type="http://schemas.openxmlformats.org/officeDocument/2006/relationships/chart" Target="charts/chart11.xml"/><Relationship Id="rId13" Type="http://schemas.openxmlformats.org/officeDocument/2006/relationships/chart" Target="charts/chart12.xml"/><Relationship Id="rId14" Type="http://schemas.openxmlformats.org/officeDocument/2006/relationships/chart" Target="charts/chart13.xml"/><Relationship Id="rId15" Type="http://schemas.openxmlformats.org/officeDocument/2006/relationships/chart" Target="charts/chart14.xml"/><Relationship Id="rId16" Type="http://schemas.openxmlformats.org/officeDocument/2006/relationships/chart" Target="charts/chart15.xml"/><Relationship Id="rId17" Type="http://schemas.openxmlformats.org/officeDocument/2006/relationships/chart" Target="charts/chart16.xml"/><Relationship Id="rId18" Type="http://schemas.openxmlformats.org/officeDocument/2006/relationships/chart" Target="charts/chart17.xml"/><Relationship Id="rId19" Type="http://schemas.openxmlformats.org/officeDocument/2006/relationships/chart" Target="charts/chart18.xml"/><Relationship Id="rId20" Type="http://schemas.openxmlformats.org/officeDocument/2006/relationships/chart" Target="charts/chart19.xml"/></Relationships>
</file>

<file path=word/charts/_rels/chart3.xml.rels><?xml version="1.0" encoding="UTF-8" standalone="yes"?>
<Relationships xmlns="http://schemas.openxmlformats.org/package/2006/relationships"><Relationship Id="rId1" Type="http://schemas.microsoft.com/office/2011/relationships/chartStyle" Target="style3.xml"/><Relationship Id="rId2" Type="http://schemas.microsoft.com/office/2011/relationships/chartColorStyle" Target="colors3.xml"/></Relationships>
</file>

<file path=word/charts/_rels/chart4.xml.rels><?xml version="1.0" encoding="UTF-8" standalone="yes"?>
<Relationships xmlns="http://schemas.openxmlformats.org/package/2006/relationships"><Relationship Id="rId1" Type="http://schemas.microsoft.com/office/2011/relationships/chartStyle" Target="style4.xml"/><Relationship Id="rId2" Type="http://schemas.microsoft.com/office/2011/relationships/chartColorStyle" Target="colors4.xml"/></Relationships>
</file>

<file path=word/charts/_rels/chart5.xml.rels><?xml version="1.0" encoding="UTF-8" standalone="yes"?>
<Relationships xmlns="http://schemas.openxmlformats.org/package/2006/relationships"><Relationship Id="rId1" Type="http://schemas.microsoft.com/office/2011/relationships/chartStyle" Target="style5.xml"/><Relationship Id="rId2" Type="http://schemas.microsoft.com/office/2011/relationships/chartColorStyle" Target="colors5.xml"/></Relationships>
</file>

<file path=word/charts/_rels/chart7.xml.rels><?xml version="1.0" encoding="UTF-8" standalone="yes"?>
<Relationships xmlns="http://schemas.openxmlformats.org/package/2006/relationships"><Relationship Id="rId1" Type="http://schemas.microsoft.com/office/2011/relationships/chartStyle" Target="style7.xml"/><Relationship Id="rId2" Type="http://schemas.microsoft.com/office/2011/relationships/chartColorStyle" Target="colors7.xml"/></Relationships>
</file>

<file path=word/charts/_rels/chart8.xml.rels><?xml version="1.0" encoding="UTF-8" standalone="yes"?>
<Relationships xmlns="http://schemas.openxmlformats.org/package/2006/relationships"><Relationship Id="rId1" Type="http://schemas.microsoft.com/office/2011/relationships/chartStyle" Target="style8.xml"/><Relationship Id="rId2" Type="http://schemas.microsoft.com/office/2011/relationships/chartColorStyle" Target="colors8.xml"/></Relationships>
</file>

<file path=word/charts/_rels/chart10.xml.rels><?xml version="1.0" encoding="UTF-8" standalone="yes"?>
<Relationships xmlns="http://schemas.openxmlformats.org/package/2006/relationships"><Relationship Id="rId1" Type="http://schemas.microsoft.com/office/2011/relationships/chartStyle" Target="style10.xml"/><Relationship Id="rId2" Type="http://schemas.microsoft.com/office/2011/relationships/chartColorStyle" Target="colors10.xml"/></Relationships>
</file>

<file path=word/charts/_rels/chart12.xml.rels><?xml version="1.0" encoding="UTF-8" standalone="yes"?>
<Relationships xmlns="http://schemas.openxmlformats.org/package/2006/relationships"><Relationship Id="rId1" Type="http://schemas.microsoft.com/office/2011/relationships/chartStyle" Target="style12.xml"/><Relationship Id="rId2" Type="http://schemas.microsoft.com/office/2011/relationships/chartColorStyle" Target="colors12.xml"/></Relationships>
</file>

<file path=word/charts/_rels/chart15.xml.rels><?xml version="1.0" encoding="UTF-8" standalone="yes"?>
<Relationships xmlns="http://schemas.openxmlformats.org/package/2006/relationships"><Relationship Id="rId1" Type="http://schemas.microsoft.com/office/2011/relationships/chartStyle" Target="style15.xml"/><Relationship Id="rId2" Type="http://schemas.microsoft.com/office/2011/relationships/chartColorStyle" Target="colors1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Classic column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2.0</c:v>
                </c:pt>
                <c:pt idx="1">
                  <c:v>2.0</c:v>
                </c:pt>
                <c:pt idx="2">
                  <c:v>3.0</c:v>
                </c:pt>
                <c:pt idx="3">
                  <c:v>5.0</c:v>
                </c:pt>
              </c:numCache>
            </c:numRef>
          </c:val>
        </c:ser>
        <c:gapWidth val="150"/>
        <c:axId val="5001"/>
        <c:axId val="5002"/>
      </c:barChart>
      <c:cat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auto val="1"/>
        <c:lblAlgn val="ctr"/>
        <c:lblOffset val="100"/>
        <c:noMultiLvlLbl val="0"/>
      </c:catAx>
      <c:valAx>
        <c:axId val="500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Classic eight series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2.0</c:v>
                </c:pt>
                <c:pt idx="1">
                  <c:v>2.0</c:v>
                </c:pt>
                <c:pt idx="2">
                  <c:v>3.0</c:v>
                </c:pt>
                <c:pt idx="3">
                  <c:v>5.0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Series 4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Sheet1!$E$2:$E$5</c:f>
              <c:numCache>
                <c:formatCode>General</c:formatCode>
                <c:ptCount val="4"/>
                <c:pt idx="0">
                  <c:v>3.1</c:v>
                </c:pt>
                <c:pt idx="1">
                  <c:v>1.6</c:v>
                </c:pt>
                <c:pt idx="2">
                  <c:v>2.6</c:v>
                </c:pt>
                <c:pt idx="3">
                  <c:v>3.9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Series 5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Sheet1!$F$2:$F$5</c:f>
              <c:numCache>
                <c:formatCode>General</c:formatCode>
                <c:ptCount val="4"/>
                <c:pt idx="0">
                  <c:v>1.2</c:v>
                </c:pt>
                <c:pt idx="1">
                  <c:v>3.3</c:v>
                </c:pt>
                <c:pt idx="2">
                  <c:v>4.1</c:v>
                </c:pt>
                <c:pt idx="3">
                  <c:v>2.2</c:v>
                </c:pt>
              </c:numCache>
            </c:numRef>
          </c:val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Series 6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Sheet1!$G$2:$G$5</c:f>
              <c:numCache>
                <c:formatCode>General</c:formatCode>
                <c:ptCount val="4"/>
                <c:pt idx="0">
                  <c:v>3.8</c:v>
                </c:pt>
                <c:pt idx="1">
                  <c:v>2.9</c:v>
                </c:pt>
                <c:pt idx="2">
                  <c:v>1.4</c:v>
                </c:pt>
                <c:pt idx="3">
                  <c:v>3.3</c:v>
                </c:pt>
              </c:numCache>
            </c:numRef>
          </c:val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Series 7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Sheet1!$H$2:$H$5</c:f>
              <c:numCache>
                <c:formatCode>General</c:formatCode>
                <c:ptCount val="4"/>
                <c:pt idx="0">
                  <c:v>2.7</c:v>
                </c:pt>
                <c:pt idx="1">
                  <c:v>3.6</c:v>
                </c:pt>
                <c:pt idx="2">
                  <c:v>2.2</c:v>
                </c:pt>
                <c:pt idx="3">
                  <c:v>1.7</c:v>
                </c:pt>
              </c:numCache>
            </c:numRef>
          </c:val>
        </c:ser>
        <c:ser>
          <c:idx val="7"/>
          <c:order val="7"/>
          <c:tx>
            <c:strRef>
              <c:f>Sheet1!$I$1</c:f>
              <c:strCache>
                <c:ptCount val="1"/>
                <c:pt idx="0">
                  <c:v>Series 8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Sheet1!$I$2:$I$5</c:f>
              <c:numCache>
                <c:formatCode>General</c:formatCode>
                <c:ptCount val="4"/>
                <c:pt idx="0">
                  <c:v>1.9</c:v>
                </c:pt>
                <c:pt idx="1">
                  <c:v>1.1</c:v>
                </c:pt>
                <c:pt idx="2">
                  <c:v>3.8</c:v>
                </c:pt>
                <c:pt idx="3">
                  <c:v>2.6</c:v>
                </c:pt>
              </c:numCache>
            </c:numRef>
          </c:val>
        </c:ser>
        <c:gapWidth val="150"/>
        <c:axId val="5001"/>
        <c:axId val="5002"/>
      </c:barChart>
      <c:cat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auto val="1"/>
        <c:lblAlgn val="ctr"/>
        <c:lblOffset val="100"/>
        <c:noMultiLvlLbl val="0"/>
      </c:catAx>
      <c:valAx>
        <c:axId val="500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Colourful eight series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2.0</c:v>
                </c:pt>
                <c:pt idx="1">
                  <c:v>2.0</c:v>
                </c:pt>
                <c:pt idx="2">
                  <c:v>3.0</c:v>
                </c:pt>
                <c:pt idx="3">
                  <c:v>5.0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Series 4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Sheet1!$E$2:$E$5</c:f>
              <c:numCache>
                <c:formatCode>General</c:formatCode>
                <c:ptCount val="4"/>
                <c:pt idx="0">
                  <c:v>3.1</c:v>
                </c:pt>
                <c:pt idx="1">
                  <c:v>1.6</c:v>
                </c:pt>
                <c:pt idx="2">
                  <c:v>2.6</c:v>
                </c:pt>
                <c:pt idx="3">
                  <c:v>3.9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Series 5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Sheet1!$F$2:$F$5</c:f>
              <c:numCache>
                <c:formatCode>General</c:formatCode>
                <c:ptCount val="4"/>
                <c:pt idx="0">
                  <c:v>1.2</c:v>
                </c:pt>
                <c:pt idx="1">
                  <c:v>3.3</c:v>
                </c:pt>
                <c:pt idx="2">
                  <c:v>4.1</c:v>
                </c:pt>
                <c:pt idx="3">
                  <c:v>2.2</c:v>
                </c:pt>
              </c:numCache>
            </c:numRef>
          </c:val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Series 6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Sheet1!$G$2:$G$5</c:f>
              <c:numCache>
                <c:formatCode>General</c:formatCode>
                <c:ptCount val="4"/>
                <c:pt idx="0">
                  <c:v>3.8</c:v>
                </c:pt>
                <c:pt idx="1">
                  <c:v>2.9</c:v>
                </c:pt>
                <c:pt idx="2">
                  <c:v>1.4</c:v>
                </c:pt>
                <c:pt idx="3">
                  <c:v>3.3</c:v>
                </c:pt>
              </c:numCache>
            </c:numRef>
          </c:val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Series 7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Sheet1!$H$2:$H$5</c:f>
              <c:numCache>
                <c:formatCode>General</c:formatCode>
                <c:ptCount val="4"/>
                <c:pt idx="0">
                  <c:v>2.7</c:v>
                </c:pt>
                <c:pt idx="1">
                  <c:v>3.6</c:v>
                </c:pt>
                <c:pt idx="2">
                  <c:v>2.2</c:v>
                </c:pt>
                <c:pt idx="3">
                  <c:v>1.7</c:v>
                </c:pt>
              </c:numCache>
            </c:numRef>
          </c:val>
        </c:ser>
        <c:ser>
          <c:idx val="7"/>
          <c:order val="7"/>
          <c:tx>
            <c:strRef>
              <c:f>Sheet1!$I$1</c:f>
              <c:strCache>
                <c:ptCount val="1"/>
                <c:pt idx="0">
                  <c:v>Series 8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Sheet1!$I$2:$I$5</c:f>
              <c:numCache>
                <c:formatCode>General</c:formatCode>
                <c:ptCount val="4"/>
                <c:pt idx="0">
                  <c:v>1.9</c:v>
                </c:pt>
                <c:pt idx="1">
                  <c:v>1.1</c:v>
                </c:pt>
                <c:pt idx="2">
                  <c:v>3.8</c:v>
                </c:pt>
                <c:pt idx="3">
                  <c:v>2.6</c:v>
                </c:pt>
              </c:numCache>
            </c:numRef>
          </c:val>
        </c:ser>
        <c:gapWidth val="150"/>
        <c:axId val="5001"/>
        <c:axId val="5002"/>
      </c:barChart>
      <c:cat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auto val="1"/>
        <c:lblAlgn val="ctr"/>
        <c:lblOffset val="100"/>
        <c:noMultiLvlLbl val="0"/>
      </c:catAx>
      <c:valAx>
        <c:axId val="500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Clustered bar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2.0</c:v>
                </c:pt>
                <c:pt idx="1">
                  <c:v>2.0</c:v>
                </c:pt>
                <c:pt idx="2">
                  <c:v>3.0</c:v>
                </c:pt>
                <c:pt idx="3">
                  <c:v>5.0</c:v>
                </c:pt>
              </c:numCache>
            </c:numRef>
          </c:val>
        </c:ser>
        <c:gapWidth val="150"/>
        <c:axId val="5001"/>
        <c:axId val="5002"/>
      </c:barChart>
      <c:catAx>
        <c:axId val="500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crossAx val="5002"/>
        <c:crosses val="autoZero"/>
        <c:auto val="1"/>
        <c:lblAlgn val="ctr"/>
        <c:lblOffset val="100"/>
        <c:noMultiLvlLbl val="0"/>
      </c:catAx>
      <c:valAx>
        <c:axId val="5002"/>
        <c:scaling>
          <c:orientation val="minMax"/>
        </c:scaling>
        <c:delete val="0"/>
        <c:axPos val="b"/>
        <c:majorGridlines/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Line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2.0</c:v>
                </c:pt>
                <c:pt idx="1">
                  <c:v>2.0</c:v>
                </c:pt>
                <c:pt idx="2">
                  <c:v>3.0</c:v>
                </c:pt>
                <c:pt idx="3">
                  <c:v>5.0</c:v>
                </c:pt>
              </c:numCache>
            </c:numRef>
          </c:val>
          <c:smooth val="0"/>
        </c:ser>
        <c:marker val="1"/>
        <c:axId val="5001"/>
        <c:axId val="5002"/>
      </c:lineChart>
      <c:cat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auto val="1"/>
        <c:lblAlgn val="ctr"/>
        <c:lblOffset val="100"/>
        <c:noMultiLvlLbl val="0"/>
      </c:catAx>
      <c:valAx>
        <c:axId val="500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Classic line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2.0</c:v>
                </c:pt>
                <c:pt idx="1">
                  <c:v>2.0</c:v>
                </c:pt>
                <c:pt idx="2">
                  <c:v>3.0</c:v>
                </c:pt>
                <c:pt idx="3">
                  <c:v>5.0</c:v>
                </c:pt>
              </c:numCache>
            </c:numRef>
          </c:val>
          <c:smooth val="0"/>
        </c:ser>
        <c:marker val="1"/>
        <c:axId val="5001"/>
        <c:axId val="5002"/>
      </c:lineChart>
      <c:cat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auto val="1"/>
        <c:lblAlgn val="ctr"/>
        <c:lblOffset val="100"/>
        <c:noMultiLvlLbl val="0"/>
      </c:catAx>
      <c:valAx>
        <c:axId val="500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Area</a:t>
            </a:r>
          </a:p>
        </c:rich>
      </c:tx>
      <c:overlay val="0"/>
    </c:title>
    <c:autoTitleDeleted val="0"/>
    <c:plotArea>
      <c:layout/>
      <c:area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axId val="5001"/>
        <c:axId val="5002"/>
      </c:areaChart>
      <c:cat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auto val="1"/>
        <c:lblAlgn val="ctr"/>
        <c:lblOffset val="100"/>
        <c:noMultiLvlLbl val="0"/>
      </c:catAx>
      <c:valAx>
        <c:axId val="500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Scatter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xVal>
            <c:numRef>
              <c:f>Sheet1!$A$2:$A$5</c:f>
              <c:numCache>
                <c:formatCode>General</c:formatCode>
                <c:ptCount val="4"/>
                <c:pt idx="0">
                  <c:v>1.0</c:v>
                </c:pt>
                <c:pt idx="1">
                  <c:v>2.0</c:v>
                </c:pt>
                <c:pt idx="2">
                  <c:v>3.0</c:v>
                </c:pt>
                <c:pt idx="3">
                  <c:v>4.0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xVal>
            <c:numRef>
              <c:f>Sheet1!$A$2:$A$5</c:f>
              <c:numCache>
                <c:formatCode>General</c:formatCode>
                <c:ptCount val="4"/>
                <c:pt idx="0">
                  <c:v>1.0</c:v>
                </c:pt>
                <c:pt idx="1">
                  <c:v>2.0</c:v>
                </c:pt>
                <c:pt idx="2">
                  <c:v>3.0</c:v>
                </c:pt>
                <c:pt idx="3">
                  <c:v>4.0</c:v>
                </c:pt>
              </c:numCache>
            </c:numRef>
          </c:xVal>
          <c:y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xVal>
            <c:numRef>
              <c:f>Sheet1!$A$2:$A$5</c:f>
              <c:numCache>
                <c:formatCode>General</c:formatCode>
                <c:ptCount val="4"/>
                <c:pt idx="0">
                  <c:v>1.0</c:v>
                </c:pt>
                <c:pt idx="1">
                  <c:v>2.0</c:v>
                </c:pt>
                <c:pt idx="2">
                  <c:v>3.0</c:v>
                </c:pt>
                <c:pt idx="3">
                  <c:v>4.0</c:v>
                </c:pt>
              </c:numCache>
            </c:numRef>
          </c:xVal>
          <c:yVal>
            <c:numRef>
              <c:f>Sheet1!$D$2:$D$5</c:f>
              <c:numCache>
                <c:formatCode>General</c:formatCode>
                <c:ptCount val="4"/>
                <c:pt idx="0">
                  <c:v>2.0</c:v>
                </c:pt>
                <c:pt idx="1">
                  <c:v>2.0</c:v>
                </c:pt>
                <c:pt idx="2">
                  <c:v>3.0</c:v>
                </c:pt>
                <c:pt idx="3">
                  <c:v>5.0</c:v>
                </c:pt>
              </c:numCache>
            </c:numRef>
          </c:yVal>
          <c:smooth val="0"/>
        </c:ser>
        <c:axId val="5001"/>
        <c:axId val="5002"/>
      </c:scatterChart>
      <c:val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crossBetween val="midCat"/>
      </c:valAx>
      <c:valAx>
        <c:axId val="500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Classic pie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Slice 1</c:v>
                </c:pt>
                <c:pt idx="1">
                  <c:v>Slice 2</c:v>
                </c:pt>
                <c:pt idx="2">
                  <c:v>Slice 3</c:v>
                </c:pt>
                <c:pt idx="3">
                  <c:v>Slice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8.0</c:v>
                </c:pt>
                <c:pt idx="1">
                  <c:v>7.0</c:v>
                </c:pt>
                <c:pt idx="2">
                  <c:v>6.0</c:v>
                </c:pt>
                <c:pt idx="3">
                  <c:v>5.0</c:v>
                </c:pt>
              </c:numCache>
            </c:numRef>
          </c:val>
        </c:ser>
        <c:firstSliceAng val="0"/>
      </c:pieChart>
    </c:plotArea>
    <c:legend>
      <c:legendPos val="b"/>
      <c:overlay val="0"/>
    </c:legend>
    <c:plotVisOnly val="1"/>
    <c:dispBlanksAs val="gap"/>
  </c:char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Pie eight slices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Sheet1!$A$2:$A$9</c:f>
              <c:strCache>
                <c:ptCount val="8"/>
                <c:pt idx="0">
                  <c:v>Slice 1</c:v>
                </c:pt>
                <c:pt idx="1">
                  <c:v>Slice 2</c:v>
                </c:pt>
                <c:pt idx="2">
                  <c:v>Slice 3</c:v>
                </c:pt>
                <c:pt idx="3">
                  <c:v>Slice 4</c:v>
                </c:pt>
                <c:pt idx="4">
                  <c:v>Slice 5</c:v>
                </c:pt>
                <c:pt idx="5">
                  <c:v>Slice 6</c:v>
                </c:pt>
                <c:pt idx="6">
                  <c:v>Slice 7</c:v>
                </c:pt>
                <c:pt idx="7">
                  <c:v>Slice 8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8.0</c:v>
                </c:pt>
                <c:pt idx="1">
                  <c:v>7.0</c:v>
                </c:pt>
                <c:pt idx="2">
                  <c:v>6.0</c:v>
                </c:pt>
                <c:pt idx="3">
                  <c:v>5.0</c:v>
                </c:pt>
                <c:pt idx="4">
                  <c:v>4.0</c:v>
                </c:pt>
                <c:pt idx="5">
                  <c:v>8.0</c:v>
                </c:pt>
                <c:pt idx="6">
                  <c:v>7.0</c:v>
                </c:pt>
                <c:pt idx="7">
                  <c:v>6.0</c:v>
                </c:pt>
              </c:numCache>
            </c:numRef>
          </c:val>
        </c:ser>
        <c:firstSliceAng val="0"/>
      </c:pieChart>
    </c:plotArea>
    <c:legend>
      <c:legendPos val="b"/>
      <c:overlay val="0"/>
    </c:legend>
    <c:plotVisOnly val="1"/>
    <c:dispBlanksAs val="gap"/>
  </c:chart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Stock</a:t>
            </a:r>
          </a:p>
        </c:rich>
      </c:tx>
      <c:overlay val="0"/>
    </c:title>
    <c:autoTitleDeleted val="0"/>
    <c:plotArea>
      <c:layout/>
      <c:stockChart>
        <c:ser>
          <c:idx val="0"/>
          <c:order val="0"/>
          <c:tx>
            <c:strRef>
              <c:f>Sheet1!$B$1</c:f>
              <c:strCache>
                <c:ptCount val="1"/>
                <c:pt idx="0">
                  <c:v>High</c:v>
                </c:pt>
              </c:strCache>
            </c:strRef>
          </c:tx>
          <c:spPr>
            <a:ln w="19050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44.0</c:v>
                </c:pt>
                <c:pt idx="1">
                  <c:v>25.0</c:v>
                </c:pt>
                <c:pt idx="2">
                  <c:v>38.0</c:v>
                </c:pt>
                <c:pt idx="3">
                  <c:v>47.0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Low</c:v>
                </c:pt>
              </c:strCache>
            </c:strRef>
          </c:tx>
          <c:spPr>
            <a:ln w="19050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24.0</c:v>
                </c:pt>
                <c:pt idx="1">
                  <c:v>18.0</c:v>
                </c:pt>
                <c:pt idx="2">
                  <c:v>21.0</c:v>
                </c:pt>
                <c:pt idx="3">
                  <c:v>31.0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Close</c:v>
                </c:pt>
              </c:strCache>
            </c:strRef>
          </c:tx>
          <c:spPr>
            <a:ln w="19050">
              <a:noFill/>
            </a:ln>
          </c:spPr>
          <c:marker>
            <c:symbol val="dot"/>
            <c:size val="5"/>
          </c:marke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38.0</c:v>
                </c:pt>
                <c:pt idx="1">
                  <c:v>22.0</c:v>
                </c:pt>
                <c:pt idx="2">
                  <c:v>33.0</c:v>
                </c:pt>
                <c:pt idx="3">
                  <c:v>41.0</c:v>
                </c:pt>
              </c:numCache>
            </c:numRef>
          </c:val>
          <c:smooth val="0"/>
        </c:ser>
        <c:hiLowLines/>
        <c:axId val="5001"/>
        <c:axId val="5002"/>
      </c:stockChart>
      <c:cat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auto val="1"/>
        <c:lblAlgn val="ctr"/>
        <c:lblOffset val="100"/>
        <c:noMultiLvlLbl val="0"/>
      </c:catAx>
      <c:valAx>
        <c:axId val="500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Monochromatic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2.0</c:v>
                </c:pt>
                <c:pt idx="1">
                  <c:v>2.0</c:v>
                </c:pt>
                <c:pt idx="2">
                  <c:v>3.0</c:v>
                </c:pt>
                <c:pt idx="3">
                  <c:v>5.0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Series 4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Sheet1!$E$2:$E$5</c:f>
              <c:numCache>
                <c:formatCode>General</c:formatCode>
                <c:ptCount val="4"/>
                <c:pt idx="0">
                  <c:v>3.1</c:v>
                </c:pt>
                <c:pt idx="1">
                  <c:v>1.6</c:v>
                </c:pt>
                <c:pt idx="2">
                  <c:v>2.6</c:v>
                </c:pt>
                <c:pt idx="3">
                  <c:v>3.9</c:v>
                </c:pt>
              </c:numCache>
            </c:numRef>
          </c:val>
        </c:ser>
        <c:gapWidth val="150"/>
        <c:axId val="5001"/>
        <c:axId val="5002"/>
      </c:barChart>
      <c:cat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auto val="1"/>
        <c:lblAlgn val="ctr"/>
        <c:lblOffset val="100"/>
        <c:noMultiLvlLbl val="0"/>
      </c:catAx>
      <c:valAx>
        <c:axId val="500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4"/>
  <c:chart>
    <c:title>
      <c:tx>
        <c:rich>
          <a:bodyPr/>
          <a:lstStyle/>
          <a:p>
            <a:r>
              <a:rPr lang="en-US"/>
              <a:t>Classic style 4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2.0</c:v>
                </c:pt>
                <c:pt idx="1">
                  <c:v>2.0</c:v>
                </c:pt>
                <c:pt idx="2">
                  <c:v>3.0</c:v>
                </c:pt>
                <c:pt idx="3">
                  <c:v>5.0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Series 4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Sheet1!$E$2:$E$5</c:f>
              <c:numCache>
                <c:formatCode>General</c:formatCode>
                <c:ptCount val="4"/>
                <c:pt idx="0">
                  <c:v>3.1</c:v>
                </c:pt>
                <c:pt idx="1">
                  <c:v>1.6</c:v>
                </c:pt>
                <c:pt idx="2">
                  <c:v>2.6</c:v>
                </c:pt>
                <c:pt idx="3">
                  <c:v>3.9</c:v>
                </c:pt>
              </c:numCache>
            </c:numRef>
          </c:val>
        </c:ser>
        <c:gapWidth val="150"/>
        <c:axId val="5001"/>
        <c:axId val="5002"/>
      </c:barChart>
      <c:cat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auto val="1"/>
        <c:lblAlgn val="ctr"/>
        <c:lblOffset val="100"/>
        <c:noMultiLvlLbl val="0"/>
      </c:catAx>
      <c:valAx>
        <c:axId val="500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1"/>
  <c:chart>
    <c:title>
      <c:tx>
        <c:rich>
          <a:bodyPr/>
          <a:lstStyle/>
          <a:p>
            <a:r>
              <a:rPr lang="en-US"/>
              <a:t>Classic style 1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2.0</c:v>
                </c:pt>
                <c:pt idx="1">
                  <c:v>2.0</c:v>
                </c:pt>
                <c:pt idx="2">
                  <c:v>3.0</c:v>
                </c:pt>
                <c:pt idx="3">
                  <c:v>5.0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Series 4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Sheet1!$E$2:$E$5</c:f>
              <c:numCache>
                <c:formatCode>General</c:formatCode>
                <c:ptCount val="4"/>
                <c:pt idx="0">
                  <c:v>3.1</c:v>
                </c:pt>
                <c:pt idx="1">
                  <c:v>1.6</c:v>
                </c:pt>
                <c:pt idx="2">
                  <c:v>2.6</c:v>
                </c:pt>
                <c:pt idx="3">
                  <c:v>3.9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Series 5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Sheet1!$F$2:$F$5</c:f>
              <c:numCache>
                <c:formatCode>General</c:formatCode>
                <c:ptCount val="4"/>
                <c:pt idx="0">
                  <c:v>1.2</c:v>
                </c:pt>
                <c:pt idx="1">
                  <c:v>3.3</c:v>
                </c:pt>
                <c:pt idx="2">
                  <c:v>4.1</c:v>
                </c:pt>
                <c:pt idx="3">
                  <c:v>2.2</c:v>
                </c:pt>
              </c:numCache>
            </c:numRef>
          </c:val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Series 6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Sheet1!$G$2:$G$5</c:f>
              <c:numCache>
                <c:formatCode>General</c:formatCode>
                <c:ptCount val="4"/>
                <c:pt idx="0">
                  <c:v>3.8</c:v>
                </c:pt>
                <c:pt idx="1">
                  <c:v>2.9</c:v>
                </c:pt>
                <c:pt idx="2">
                  <c:v>1.4</c:v>
                </c:pt>
                <c:pt idx="3">
                  <c:v>3.3</c:v>
                </c:pt>
              </c:numCache>
            </c:numRef>
          </c:val>
        </c:ser>
        <c:gapWidth val="150"/>
        <c:axId val="5001"/>
        <c:axId val="5002"/>
      </c:barChart>
      <c:cat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auto val="1"/>
        <c:lblAlgn val="ctr"/>
        <c:lblOffset val="100"/>
        <c:noMultiLvlLbl val="0"/>
      </c:catAx>
      <c:valAx>
        <c:axId val="500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Pie monochromatic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Slice 1</c:v>
                </c:pt>
                <c:pt idx="1">
                  <c:v>Slice 2</c:v>
                </c:pt>
                <c:pt idx="2">
                  <c:v>Slice 3</c:v>
                </c:pt>
                <c:pt idx="3">
                  <c:v>Slice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8.0</c:v>
                </c:pt>
                <c:pt idx="1">
                  <c:v>7.0</c:v>
                </c:pt>
                <c:pt idx="2">
                  <c:v>6.0</c:v>
                </c:pt>
                <c:pt idx="3">
                  <c:v>5.0</c:v>
                </c:pt>
              </c:numCache>
            </c:numRef>
          </c:val>
        </c:ser>
        <c:firstSliceAng val="0"/>
      </c:pieChart>
    </c:plotArea>
    <c:legend>
      <c:legendPos val="b"/>
      <c:overlay val="0"/>
    </c:legend>
    <c:plotVisOnly val="1"/>
    <c:dispBlanksAs val="gap"/>
  </c:chart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Two-ring doughnut</a:t>
            </a:r>
          </a:p>
        </c:rich>
      </c:tx>
      <c:overlay val="0"/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Slice 1</c:v>
                </c:pt>
                <c:pt idx="1">
                  <c:v>Slice 2</c:v>
                </c:pt>
                <c:pt idx="2">
                  <c:v>Slice 3</c:v>
                </c:pt>
                <c:pt idx="3">
                  <c:v>Slice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Slice 1</c:v>
                </c:pt>
                <c:pt idx="1">
                  <c:v>Slice 2</c:v>
                </c:pt>
                <c:pt idx="2">
                  <c:v>Slice 3</c:v>
                </c:pt>
                <c:pt idx="3">
                  <c:v>Slice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firstSliceAng val="0"/>
        <c:holeSize val="50"/>
      </c:doughnutChart>
    </c:plotArea>
    <c:legend>
      <c:legendPos val="b"/>
      <c:overlay val="0"/>
    </c:legend>
    <c:plotVisOnly val="1"/>
    <c:dispBlanksAs val="gap"/>
  </c:chart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Classic six series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2.0</c:v>
                </c:pt>
                <c:pt idx="1">
                  <c:v>2.0</c:v>
                </c:pt>
                <c:pt idx="2">
                  <c:v>3.0</c:v>
                </c:pt>
                <c:pt idx="3">
                  <c:v>5.0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Series 4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Sheet1!$E$2:$E$5</c:f>
              <c:numCache>
                <c:formatCode>General</c:formatCode>
                <c:ptCount val="4"/>
                <c:pt idx="0">
                  <c:v>3.1</c:v>
                </c:pt>
                <c:pt idx="1">
                  <c:v>1.6</c:v>
                </c:pt>
                <c:pt idx="2">
                  <c:v>2.6</c:v>
                </c:pt>
                <c:pt idx="3">
                  <c:v>3.9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Series 5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Sheet1!$F$2:$F$5</c:f>
              <c:numCache>
                <c:formatCode>General</c:formatCode>
                <c:ptCount val="4"/>
                <c:pt idx="0">
                  <c:v>1.2</c:v>
                </c:pt>
                <c:pt idx="1">
                  <c:v>3.3</c:v>
                </c:pt>
                <c:pt idx="2">
                  <c:v>4.1</c:v>
                </c:pt>
                <c:pt idx="3">
                  <c:v>2.2</c:v>
                </c:pt>
              </c:numCache>
            </c:numRef>
          </c:val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Series 6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Sheet1!$G$2:$G$5</c:f>
              <c:numCache>
                <c:formatCode>General</c:formatCode>
                <c:ptCount val="4"/>
                <c:pt idx="0">
                  <c:v>3.8</c:v>
                </c:pt>
                <c:pt idx="1">
                  <c:v>2.9</c:v>
                </c:pt>
                <c:pt idx="2">
                  <c:v>1.4</c:v>
                </c:pt>
                <c:pt idx="3">
                  <c:v>3.3</c:v>
                </c:pt>
              </c:numCache>
            </c:numRef>
          </c:val>
        </c:ser>
        <c:gapWidth val="150"/>
        <c:axId val="5001"/>
        <c:axId val="5002"/>
      </c:barChart>
      <c:cat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auto val="1"/>
        <c:lblAlgn val="ctr"/>
        <c:lblOffset val="100"/>
        <c:noMultiLvlLbl val="0"/>
      </c:catAx>
      <c:valAx>
        <c:axId val="500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title>
      <c:tx>
        <c:rich>
          <a:bodyPr/>
          <a:lstStyle/>
          <a:p>
            <a:r>
              <a:rPr lang="en-US"/>
              <a:t>Classic twelve series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2.0</c:v>
                </c:pt>
                <c:pt idx="1">
                  <c:v>2.0</c:v>
                </c:pt>
                <c:pt idx="2">
                  <c:v>3.0</c:v>
                </c:pt>
                <c:pt idx="3">
                  <c:v>5.0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Series 4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Sheet1!$E$2:$E$5</c:f>
              <c:numCache>
                <c:formatCode>General</c:formatCode>
                <c:ptCount val="4"/>
                <c:pt idx="0">
                  <c:v>3.1</c:v>
                </c:pt>
                <c:pt idx="1">
                  <c:v>1.6</c:v>
                </c:pt>
                <c:pt idx="2">
                  <c:v>2.6</c:v>
                </c:pt>
                <c:pt idx="3">
                  <c:v>3.9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Series 5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Sheet1!$F$2:$F$5</c:f>
              <c:numCache>
                <c:formatCode>General</c:formatCode>
                <c:ptCount val="4"/>
                <c:pt idx="0">
                  <c:v>1.2</c:v>
                </c:pt>
                <c:pt idx="1">
                  <c:v>3.3</c:v>
                </c:pt>
                <c:pt idx="2">
                  <c:v>4.1</c:v>
                </c:pt>
                <c:pt idx="3">
                  <c:v>2.2</c:v>
                </c:pt>
              </c:numCache>
            </c:numRef>
          </c:val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Series 6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Sheet1!$G$2:$G$5</c:f>
              <c:numCache>
                <c:formatCode>General</c:formatCode>
                <c:ptCount val="4"/>
                <c:pt idx="0">
                  <c:v>3.8</c:v>
                </c:pt>
                <c:pt idx="1">
                  <c:v>2.9</c:v>
                </c:pt>
                <c:pt idx="2">
                  <c:v>1.4</c:v>
                </c:pt>
                <c:pt idx="3">
                  <c:v>3.3</c:v>
                </c:pt>
              </c:numCache>
            </c:numRef>
          </c:val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Series 7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Sheet1!$H$2:$H$5</c:f>
              <c:numCache>
                <c:formatCode>General</c:formatCode>
                <c:ptCount val="4"/>
                <c:pt idx="0">
                  <c:v>2.7</c:v>
                </c:pt>
                <c:pt idx="1">
                  <c:v>3.6</c:v>
                </c:pt>
                <c:pt idx="2">
                  <c:v>2.2</c:v>
                </c:pt>
                <c:pt idx="3">
                  <c:v>1.7</c:v>
                </c:pt>
              </c:numCache>
            </c:numRef>
          </c:val>
        </c:ser>
        <c:ser>
          <c:idx val="7"/>
          <c:order val="7"/>
          <c:tx>
            <c:strRef>
              <c:f>Sheet1!$I$1</c:f>
              <c:strCache>
                <c:ptCount val="1"/>
                <c:pt idx="0">
                  <c:v>Series 8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Sheet1!$I$2:$I$5</c:f>
              <c:numCache>
                <c:formatCode>General</c:formatCode>
                <c:ptCount val="4"/>
                <c:pt idx="0">
                  <c:v>1.9</c:v>
                </c:pt>
                <c:pt idx="1">
                  <c:v>1.1</c:v>
                </c:pt>
                <c:pt idx="2">
                  <c:v>3.8</c:v>
                </c:pt>
                <c:pt idx="3">
                  <c:v>2.6</c:v>
                </c:pt>
              </c:numCache>
            </c:numRef>
          </c:val>
        </c:ser>
        <c:ser>
          <c:idx val="8"/>
          <c:order val="8"/>
          <c:tx>
            <c:strRef>
              <c:f>Sheet1!$J$1</c:f>
              <c:strCache>
                <c:ptCount val="1"/>
                <c:pt idx="0">
                  <c:v>Series 9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Sheet1!$J$2:$J$5</c:f>
              <c:numCache>
                <c:formatCode>General</c:formatCode>
                <c:ptCount val="4"/>
                <c:pt idx="0">
                  <c:v>3.4</c:v>
                </c:pt>
                <c:pt idx="1">
                  <c:v>2.1</c:v>
                </c:pt>
                <c:pt idx="2">
                  <c:v>2.9</c:v>
                </c:pt>
                <c:pt idx="3">
                  <c:v>1.5</c:v>
                </c:pt>
              </c:numCache>
            </c:numRef>
          </c:val>
        </c:ser>
        <c:ser>
          <c:idx val="9"/>
          <c:order val="9"/>
          <c:tx>
            <c:strRef>
              <c:f>Sheet1!$K$1</c:f>
              <c:strCache>
                <c:ptCount val="1"/>
                <c:pt idx="0">
                  <c:v>Series 10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Sheet1!$K$2:$K$5</c:f>
              <c:numCache>
                <c:formatCode>General</c:formatCode>
                <c:ptCount val="4"/>
                <c:pt idx="0">
                  <c:v>2.2</c:v>
                </c:pt>
                <c:pt idx="1">
                  <c:v>4.0</c:v>
                </c:pt>
                <c:pt idx="2">
                  <c:v>1.6</c:v>
                </c:pt>
                <c:pt idx="3">
                  <c:v>3.1</c:v>
                </c:pt>
              </c:numCache>
            </c:numRef>
          </c:val>
        </c:ser>
        <c:ser>
          <c:idx val="10"/>
          <c:order val="10"/>
          <c:tx>
            <c:strRef>
              <c:f>Sheet1!$L$1</c:f>
              <c:strCache>
                <c:ptCount val="1"/>
                <c:pt idx="0">
                  <c:v>Series 11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Sheet1!$L$2:$L$5</c:f>
              <c:numCache>
                <c:formatCode>General</c:formatCode>
                <c:ptCount val="4"/>
                <c:pt idx="0">
                  <c:v>1.4</c:v>
                </c:pt>
                <c:pt idx="1">
                  <c:v>2.6</c:v>
                </c:pt>
                <c:pt idx="2">
                  <c:v>3.3</c:v>
                </c:pt>
                <c:pt idx="3">
                  <c:v>4.2</c:v>
                </c:pt>
              </c:numCache>
            </c:numRef>
          </c:val>
        </c:ser>
        <c:ser>
          <c:idx val="11"/>
          <c:order val="11"/>
          <c:tx>
            <c:strRef>
              <c:f>Sheet1!$M$1</c:f>
              <c:strCache>
                <c:ptCount val="1"/>
                <c:pt idx="0">
                  <c:v>Series 12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Sheet1!$M$2:$M$5</c:f>
              <c:numCache>
                <c:formatCode>General</c:formatCode>
                <c:ptCount val="4"/>
                <c:pt idx="0">
                  <c:v>4.1</c:v>
                </c:pt>
                <c:pt idx="1">
                  <c:v>1.8</c:v>
                </c:pt>
                <c:pt idx="2">
                  <c:v>2.5</c:v>
                </c:pt>
                <c:pt idx="3">
                  <c:v>2.9</c:v>
                </c:pt>
              </c:numCache>
            </c:numRef>
          </c:val>
        </c:ser>
        <c:gapWidth val="150"/>
        <c:axId val="5001"/>
        <c:axId val="5002"/>
      </c:barChart>
      <c:cat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auto val="1"/>
        <c:lblAlgn val="ctr"/>
        <c:lblOffset val="100"/>
        <c:noMultiLvlLbl val="0"/>
      </c:catAx>
      <c:valAx>
        <c:axId val="500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1"/>
  <c:chart>
    <c:title>
      <c:tx>
        <c:rich>
          <a:bodyPr/>
          <a:lstStyle/>
          <a:p>
            <a:r>
              <a:rPr lang="en-US"/>
              <a:t>Classic style 1 four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2.0</c:v>
                </c:pt>
                <c:pt idx="1">
                  <c:v>2.0</c:v>
                </c:pt>
                <c:pt idx="2">
                  <c:v>3.0</c:v>
                </c:pt>
                <c:pt idx="3">
                  <c:v>5.0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Series 4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East</c:v>
                </c:pt>
                <c:pt idx="2">
                  <c:v>South</c:v>
                </c:pt>
                <c:pt idx="3">
                  <c:v>West</c:v>
                </c:pt>
              </c:strCache>
            </c:strRef>
          </c:cat>
          <c:val>
            <c:numRef>
              <c:f>Sheet1!$E$2:$E$5</c:f>
              <c:numCache>
                <c:formatCode>General</c:formatCode>
                <c:ptCount val="4"/>
                <c:pt idx="0">
                  <c:v>3.1</c:v>
                </c:pt>
                <c:pt idx="1">
                  <c:v>1.6</c:v>
                </c:pt>
                <c:pt idx="2">
                  <c:v>2.6</c:v>
                </c:pt>
                <c:pt idx="3">
                  <c:v>3.9</c:v>
                </c:pt>
              </c:numCache>
            </c:numRef>
          </c:val>
        </c:ser>
        <c:gapWidth val="150"/>
        <c:axId val="5001"/>
        <c:axId val="5002"/>
      </c:barChart>
      <c:catAx>
        <c:axId val="5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2"/>
        <c:crosses val="autoZero"/>
        <c:auto val="1"/>
        <c:lblAlgn val="ctr"/>
        <c:lblOffset val="100"/>
        <c:noMultiLvlLbl val="0"/>
      </c:catAx>
      <c:valAx>
        <c:axId val="500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500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15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12700">
          <a:solidFill>
            <a:schemeClr val="phClr"/>
          </a:solidFill>
        </a:ln>
        <a:ln w="19050">
          <a:solidFill>
            <a:schemeClr val="phClr"/>
          </a:solidFill>
        </a:ln>
        <a:ln w="254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