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8c44f442f5cd42b3" />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/>
          <w:bCs/>
          <w:color w:val="17365D"/>
          <w:sz w:val="52"/>
        </w:rPr>
        <w:t xml:space="preserve">Patch compliance report</w:t>
      </w:r>
    </w:p>
    <w:p>
      <w:pPr/>
      <w:r>
        <w:rPr>
          <w:b/>
          <w:bCs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/>
          <w:bCs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46315afe347642f5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/>
          <w:bCs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E10418CB">
      <w:headerReference w:type="default" r:id="R042b2f78e28e4948"/>
      <w:footerReference w:type="default" r:id="R7e9e53f1c0d04fbf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E81669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042b2f78e28e4948" />
  <Relationship Type="http://schemas.openxmlformats.org/officeDocument/2006/relationships/footer" Target="footer1.xml" Id="R7e9e53f1c0d04fbf" />
  <Relationship Type="http://schemas.openxmlformats.org/officeDocument/2006/relationships/chart" Target="charts/chart1.xml" Id="R46315afe347642f5" />
  <Relationship Type="http://schemas.openxmlformats.org/officeDocument/2006/relationships/numbering" Target="numbering.xml" Id="R0ef1da2116544584" />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</c:title>
    <c:autoTitleDeleted val="0"/>
    <c:plotArea>
      <c:layout/>
      <c:barChart xmlns:c="http://schemas.openxmlformats.org/drawingml/2006/chart">
        <c:barDir val="bar"/>
        <c:grouping val="standard"/>
        <c:ser>
          <c:idx val="0"/>
          <c:order val="0"/>
          <c:tx>
            <c:strRef>
              <c:f/>
              <c:strCache>
                <c:pt idx="0">
                  <c:v>Patched</c:v>
                </c:pt>
              </c:strCache>
            </c:strRef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strRef>
              <c:f/>
              <c:strCache>
                <c:pt idx="0">
                  <c:v>Pending</c:v>
                </c:pt>
              </c:strCache>
            </c:strRef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showLegendKey val="0"/>
          <c:showVal val="1"/>
          <c:showCatName val="0"/>
          <c:showSerName val="0"/>
          <c:showPercent val="1"/>
          <c:showBubbleSize val="0"/>
          <c:showLeaderLines val="1"/>
        </c:dLbls>
        <c:gapWidth val="20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b"/>
        <c:majorTickMark val="out"/>
        <c:minorTickMark val="none"/>
        <c:tickLblPos val="nextTo"/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l"/>
        <c:majorGridlines/>
        <c:numFmt formatCode="General" sourceLinked="0"/>
        <c:majorTickMark val="out"/>
        <c:minorTickMark val="none"/>
        <c:tickLblPos val="nextTo"/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</c:chartSpace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