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36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ffffff"/>
        <w:tblLayout w:type="fixed"/>
      </w:tblPr>
      <w:tblGrid>
        <w:gridCol w:w="4680"/>
        <w:gridCol w:w="4680"/>
      </w:tblGrid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Explicit numeric formats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Numeric values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Number zero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13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Number two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12,50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Grouping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-9</w:t>
            </w:r>
            <w:r>
              <w:rPr>
                <w:rFonts w:ascii="ArialMT" w:cs="Arial Unicode MS" w:hAnsi="ArialMT" w:eastAsia="Arial Unicode MS" w:hint="default"/>
                <w:rtl w:val="0"/>
              </w:rPr>
              <w:t> </w:t>
            </w:r>
            <w:r>
              <w:rPr>
                <w:rFonts w:ascii="ArialMT" w:cs="Arial Unicode MS" w:hAnsi="ArialMT" w:eastAsia="Arial Unicode MS"/>
                <w:rtl w:val="0"/>
              </w:rPr>
              <w:t>876,00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Minus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-1</w:t>
            </w:r>
            <w:r>
              <w:rPr>
                <w:rFonts w:ascii="ArialMT" w:cs="Arial Unicode MS" w:hAnsi="ArialMT" w:eastAsia="Arial Unicode MS" w:hint="default"/>
                <w:rtl w:val="0"/>
              </w:rPr>
              <w:t> </w:t>
            </w:r>
            <w:r>
              <w:rPr>
                <w:rFonts w:ascii="ArialMT" w:cs="Arial Unicode MS" w:hAnsi="ArialMT" w:eastAsia="Arial Unicode MS"/>
                <w:rtl w:val="0"/>
              </w:rPr>
              <w:t>234,50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Parentheses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(1</w:t>
            </w:r>
            <w:r>
              <w:rPr>
                <w:rFonts w:ascii="ArialMT" w:cs="Arial Unicode MS" w:hAnsi="ArialMT" w:eastAsia="Arial Unicode MS" w:hint="default"/>
                <w:rtl w:val="0"/>
              </w:rPr>
              <w:t> </w:t>
            </w:r>
            <w:r>
              <w:rPr>
                <w:rFonts w:ascii="ArialMT" w:cs="Arial Unicode MS" w:hAnsi="ArialMT" w:eastAsia="Arial Unicode MS"/>
                <w:rtl w:val="0"/>
              </w:rPr>
              <w:t>234,50)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Red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ArialMT" w:cs="Arial Unicode MS" w:hAnsi="ArialMT" w:eastAsia="Arial Unicode MS"/>
                <w:b w:val="0"/>
                <w:bCs w:val="0"/>
                <w:i w:val="0"/>
                <w:iCs w:val="0"/>
                <w:outline w:val="0"/>
                <w:color w:val="ff0000"/>
                <w:sz w:val="20"/>
                <w:szCs w:val="20"/>
                <w:rtl w:val="0"/>
                <w14:textFill>
                  <w14:solidFill>
                    <w14:srgbClr w14:val="FF0000"/>
                  </w14:solidFill>
                </w14:textFill>
              </w:rPr>
              <w:t>1</w:t>
            </w:r>
            <w:r>
              <w:rPr>
                <w:rFonts w:ascii="ArialMT" w:cs="Arial Unicode MS" w:hAnsi="ArialMT" w:eastAsia="Arial Unicode MS" w:hint="default"/>
                <w:b w:val="0"/>
                <w:bCs w:val="0"/>
                <w:i w:val="0"/>
                <w:iCs w:val="0"/>
                <w:outline w:val="0"/>
                <w:color w:val="ff0000"/>
                <w:sz w:val="20"/>
                <w:szCs w:val="20"/>
                <w:rtl w:val="0"/>
                <w14:textFill>
                  <w14:solidFill>
                    <w14:srgbClr w14:val="FF0000"/>
                  </w14:solidFill>
                </w14:textFill>
              </w:rPr>
              <w:t> </w:t>
            </w:r>
            <w:r>
              <w:rPr>
                <w:rFonts w:ascii="ArialMT" w:cs="Arial Unicode MS" w:hAnsi="ArialMT" w:eastAsia="Arial Unicode MS"/>
                <w:b w:val="0"/>
                <w:bCs w:val="0"/>
                <w:i w:val="0"/>
                <w:iCs w:val="0"/>
                <w:outline w:val="0"/>
                <w:color w:val="ff0000"/>
                <w:sz w:val="20"/>
                <w:szCs w:val="20"/>
                <w:rtl w:val="0"/>
                <w14:textFill>
                  <w14:solidFill>
                    <w14:srgbClr w14:val="FF0000"/>
                  </w14:solidFill>
                </w14:textFill>
              </w:rPr>
              <w:t>234,50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Red parentheses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ArialMT" w:cs="Arial Unicode MS" w:hAnsi="ArialMT" w:eastAsia="Arial Unicode MS"/>
                <w:b w:val="0"/>
                <w:bCs w:val="0"/>
                <w:i w:val="0"/>
                <w:iCs w:val="0"/>
                <w:outline w:val="0"/>
                <w:color w:val="ff0000"/>
                <w:sz w:val="20"/>
                <w:szCs w:val="20"/>
                <w:rtl w:val="0"/>
                <w14:textFill>
                  <w14:solidFill>
                    <w14:srgbClr w14:val="FF0000"/>
                  </w14:solidFill>
                </w14:textFill>
              </w:rPr>
              <w:t>(1</w:t>
            </w:r>
            <w:r>
              <w:rPr>
                <w:rFonts w:ascii="ArialMT" w:cs="Arial Unicode MS" w:hAnsi="ArialMT" w:eastAsia="Arial Unicode MS" w:hint="default"/>
                <w:b w:val="0"/>
                <w:bCs w:val="0"/>
                <w:i w:val="0"/>
                <w:iCs w:val="0"/>
                <w:outline w:val="0"/>
                <w:color w:val="ff0000"/>
                <w:sz w:val="20"/>
                <w:szCs w:val="20"/>
                <w:rtl w:val="0"/>
                <w14:textFill>
                  <w14:solidFill>
                    <w14:srgbClr w14:val="FF0000"/>
                  </w14:solidFill>
                </w14:textFill>
              </w:rPr>
              <w:t> </w:t>
            </w:r>
            <w:r>
              <w:rPr>
                <w:rFonts w:ascii="ArialMT" w:cs="Arial Unicode MS" w:hAnsi="ArialMT" w:eastAsia="Arial Unicode MS"/>
                <w:b w:val="0"/>
                <w:bCs w:val="0"/>
                <w:i w:val="0"/>
                <w:iCs w:val="0"/>
                <w:outline w:val="0"/>
                <w:color w:val="ff0000"/>
                <w:sz w:val="20"/>
                <w:szCs w:val="20"/>
                <w:rtl w:val="0"/>
                <w14:textFill>
                  <w14:solidFill>
                    <w14:srgbClr w14:val="FF0000"/>
                  </w14:solidFill>
                </w14:textFill>
              </w:rPr>
              <w:t>234,50)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Number fifteen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0,500000000000000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Number thirty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0,500000000000000000000000000000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Percent zero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13%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Percent two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-25,00%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Percent grouping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1</w:t>
            </w:r>
            <w:r>
              <w:rPr>
                <w:rFonts w:ascii="ArialMT" w:cs="Arial Unicode MS" w:hAnsi="ArialMT" w:eastAsia="Arial Unicode MS" w:hint="default"/>
                <w:rtl w:val="0"/>
              </w:rPr>
              <w:t> </w:t>
            </w:r>
            <w:r>
              <w:rPr>
                <w:rFonts w:ascii="ArialMT" w:cs="Arial Unicode MS" w:hAnsi="ArialMT" w:eastAsia="Arial Unicode MS"/>
                <w:rtl w:val="0"/>
              </w:rPr>
              <w:t>234,50%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Percent parentheses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(12,50%)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Percent red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ArialMT" w:cs="Arial Unicode MS" w:hAnsi="ArialMT" w:eastAsia="Arial Unicode MS"/>
                <w:b w:val="0"/>
                <w:bCs w:val="0"/>
                <w:i w:val="0"/>
                <w:iCs w:val="0"/>
                <w:outline w:val="0"/>
                <w:color w:val="ff0000"/>
                <w:sz w:val="20"/>
                <w:szCs w:val="20"/>
                <w:rtl w:val="0"/>
                <w14:textFill>
                  <w14:solidFill>
                    <w14:srgbClr w14:val="FF0000"/>
                  </w14:solidFill>
                </w14:textFill>
              </w:rPr>
              <w:t>12,50%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Percent red parentheses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ArialMT" w:cs="Arial Unicode MS" w:hAnsi="ArialMT" w:eastAsia="Arial Unicode MS"/>
                <w:b w:val="0"/>
                <w:bCs w:val="0"/>
                <w:i w:val="0"/>
                <w:iCs w:val="0"/>
                <w:outline w:val="0"/>
                <w:color w:val="ff0000"/>
                <w:sz w:val="20"/>
                <w:szCs w:val="20"/>
                <w:rtl w:val="0"/>
                <w14:textFill>
                  <w14:solidFill>
                    <w14:srgbClr w14:val="FF0000"/>
                  </w14:solidFill>
                </w14:textFill>
              </w:rPr>
              <w:t>(12,50%)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Percent thirty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50,000000000000000000000000000000%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Scientific zero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1E+04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Scientific four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-5,4321E+04</w:t>
            </w:r>
          </w:p>
        </w:tc>
      </w:tr>
      <w:tr>
        <w:tblPrEx>
          <w:shd w:val="clear" w:color="auto" w:fill="ffffff"/>
        </w:tblPrEx>
        <w:trPr>
          <w:trHeight w:val="320" w:hRule="exac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Scientific thirty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5,000000000000000000000000000000E-01</w:t>
            </w:r>
          </w:p>
        </w:tc>
      </w:tr>
    </w:tbl>
    <w:p>
      <w:pPr>
        <w:pStyle w:val="Bez formatowania"/>
        <w:bidi w:val="0"/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ez formatowania"/>
      <w:tabs>
        <w:tab w:val="center" w:pos="4680"/>
        <w:tab w:val="right" w:pos="9360"/>
      </w:tabs>
      <w:jc w:val="lef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ez formatowania"/>
      <w:tabs>
        <w:tab w:val="center" w:pos="4680"/>
        <w:tab w:val="right" w:pos="9360"/>
      </w:tabs>
      <w:jc w:val="left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ez formatowania">
    <w:name w:val="Bez formatowania"/>
    <w:next w:val="Bez formatowani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OfficeIMO Paragraph">
    <w:name w:val="OfficeIMO Paragraph"/>
    <w:next w:val="OfficeIMO Paragraph"/>
    <w:pPr>
      <w:spacing w:line="240" w:lineRule="auto"/>
      <w:jc w:val="left"/>
    </w:pPr>
    <w:rPr>
      <w:rFonts w:ascii="ArialMT" w:cs="Arial Unicode MS" w:hAnsi="ArialMT" w:eastAsia="Arial Unicode MS"/>
      <w:b w:val="0"/>
      <w:bCs w:val="0"/>
      <w:i w:val="0"/>
      <w:iCs w:val="0"/>
      <w:outline w:val="0"/>
      <w:color w:val="000000"/>
      <w:sz w:val="20"/>
      <w:szCs w:val="20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