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8470ae383f2e447a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spacing w:after="240"/>
      </w:pPr>
      <w:r>
        <w:rPr>
          <w:b/>
          <w:bCs/>
          <w:color w:val="17365D"/>
          <w:sz w:val="52"/>
        </w:rPr>
        <w:t xml:space="preserve">Event incident brief</w:t>
      </w:r>
    </w:p>
    <w:p>
      <w:pPr/>
      <w:r>
        <w:t xml:space="preserve">Synthetic incident exercise / 11 October 2026</w:t>
      </w:r>
    </w:p>
    <w:p>
      <w:pPr>
        <w:spacing w:before="240" w:after="200"/>
      </w:pPr>
      <w:r>
        <w:rPr>
          <w:b/>
          <w:bCs/>
          <w:color w:val="9A3412"/>
          <w:sz w:val="36"/>
        </w:rPr>
        <w:t xml:space="preserve">4 retained records</w:t>
      </w:r>
    </w:p>
    <w:p>
      <w:pPr/>
      <w:r>
        <w:t xml:space="preserve">Use this snapshot to assign investigation. Event counts alone do not establish a root cause or service impact.</w:t>
      </w:r>
    </w:p>
    <w:p>
      <w:pPr/>
      <w:r>
        <w:t xml:space="preserve">2 named source computers / 2 named source logs. The register preserves each record's source where supplied.</w:t>
      </w:r>
    </w:p>
    <w:p>
      <w:pPr>
        <w:keepNext/>
        <w:spacing w:before="320" w:after="160"/>
      </w:pPr>
      <w:r>
        <w:rPr>
          <w:b/>
          <w:bCs/>
          <w:color w:val="17365D"/>
          <w:sz w:val="30"/>
        </w:rPr>
        <w:t xml:space="preserve">Most represented providers</w:t>
      </w:r>
    </w:p>
    <w:tbl>
      <w:tblPr>
        <w:tblStyle w:val="GridTable4-Accent1"/>
        <w:tblW w:w="5000" w:type="pct"/>
        <w:tblLayout w:type="fixed"/>
        <w:tblLook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Provider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Records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Critical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Errors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Warnings</w:t>
            </w:r>
          </w:p>
        </w:tc>
      </w:tr>
      <w:tr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Demo.Backup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2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0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2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0</w:t>
            </w:r>
          </w:p>
        </w:tc>
      </w:tr>
      <w:tr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Demo.Inventory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1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0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0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1</w:t>
            </w:r>
          </w:p>
        </w:tc>
      </w:tr>
      <w:tr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Demo.Sync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1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0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0</w:t>
            </w:r>
          </w:p>
        </w:tc>
        <w:tc>
          <w:tcPr>
            <w:tcW w:w="1000" w:type="pct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/>
            <w:r>
              <w:t xml:space="preserve">1</w:t>
            </w:r>
          </w:p>
        </w:tc>
      </w:tr>
    </w:tbl>
    <w:p>
      <w:pPr>
        <w:keepNext/>
        <w:spacing w:before="320" w:after="160"/>
      </w:pPr>
      <w:r>
        <w:rPr>
          <w:b/>
          <w:bCs/>
          <w:color w:val="17365D"/>
          <w:sz w:val="30"/>
        </w:rPr>
        <w:t xml:space="preserve">Investigation handoff</w:t>
      </w:r>
    </w:p>
    <w:p>
      <w:pPr>
        <w:pStyle w:val="ListParagraph"/>
        <w:numPr>
          <w:ilvl w:val="0"/>
          <w:numId w:val="1"/>
        </w:numPr>
      </w:pPr>
      <w:r>
        <w:t xml:space="preserve">Review source computers, logs, timestamps and full messages in the attached event register.</w:t>
      </w:r>
    </w:p>
    <w:p>
      <w:pPr>
        <w:pStyle w:val="ListParagraph"/>
        <w:numPr>
          <w:ilvl w:val="0"/>
          <w:numId w:val="1"/>
        </w:numPr>
      </w:pPr>
      <w:r>
        <w:t xml:space="preserve">Confirm user impact and correlate the events with recent changes.</w:t>
      </w:r>
    </w:p>
    <w:p>
      <w:pPr>
        <w:pStyle w:val="ListParagraph"/>
        <w:numPr>
          <w:ilvl w:val="0"/>
          <w:numId w:val="1"/>
        </w:numPr>
      </w:pPr>
      <w:r>
        <w:t xml:space="preserve">Assign an owner, record the findings and agree a follow-up time.</w:t>
      </w:r>
    </w:p>
    <w:p>
      <w:pPr>
        <w:spacing w:before="240"/>
      </w:pPr>
      <w:r>
        <w:rPr>
          <w:color w:val="475569"/>
          <w:sz w:val="20"/>
        </w:rPr>
        <w:t xml:space="preserve">Only the top eight providers appear here. The workbook retains every record in this bounded snapshot. Review event messages before sharing them.</w:t>
      </w:r>
    </w:p>
    <w:sectPr w:rsidR="B324F395">
      <w:headerReference w:type="default" r:id="R3fb16f2d1f234d16"/>
      <w:footerReference w:type="default" r:id="R589751a9f4af40a5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/>
    <w:fldSimple w:instr=" PAGE  \* MERGEFORMAT " w:dirty="true">
      <w:r>
        <w:rPr>
          <w:noProof/>
        </w:rPr>
        <w:t>[Document Page]</w:t>
      </w:r>
    </w:fldSimple>
    <w:r>
      <w:t xml:space="preserve"> of </w:t>
    </w:r>
    <w:fldSimple w:instr=" NUMPAGES  \* MERGEFORMAT " w:dirty="true">
      <w:r>
        <w:rPr>
          <w:noProof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/>
    <w:r>
      <w:t xml:space="preserve">OPERATIONS / EVENT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36513"/>
    <w:multiLevelType w:val="hybridMultilevel"/>
    <w:tmpl w:val="25BE4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true">
      <w:start w:val="1"/>
      <w:numFmt w:val="lowerLetter"/>
      <w:lvlText w:val="%2."/>
      <w:lvlJc w:val="left"/>
      <w:pPr>
        <w:ind w:left="1440" w:hanging="360"/>
      </w:pPr>
    </w:lvl>
    <w:lvl w:ilvl="2" w:tplc="0409001B" w:tentative="true">
      <w:start w:val="1"/>
      <w:numFmt w:val="lowerRoman"/>
      <w:lvlText w:val="%3."/>
      <w:lvlJc w:val="left"/>
      <w:pPr>
        <w:ind w:left="2160" w:hanging="180"/>
      </w:pPr>
    </w:lvl>
    <w:lvl w:ilvl="3" w:tplc="0409000F" w:tentative="true">
      <w:start w:val="1"/>
      <w:numFmt w:val="decimal"/>
      <w:lvlText w:val="%4."/>
      <w:lvlJc w:val="left"/>
      <w:pPr>
        <w:ind w:left="2880" w:hanging="360"/>
      </w:pPr>
    </w:lvl>
    <w:lvl w:ilvl="4" w:tplc="04090019" w:tentative="true">
      <w:start w:val="1"/>
      <w:numFmt w:val="lowerLetter"/>
      <w:lvlText w:val="%5."/>
      <w:lvlJc w:val="left"/>
      <w:pPr>
        <w:ind w:left="3600" w:hanging="360"/>
      </w:pPr>
    </w:lvl>
    <w:lvl w:ilvl="5" w:tplc="0409001B" w:tentative="true">
      <w:start w:val="1"/>
      <w:numFmt w:val="lowerRoman"/>
      <w:lvlText w:val="%6."/>
      <w:lvlJc w:val="left"/>
      <w:pPr>
        <w:ind w:left="4320" w:hanging="180"/>
      </w:pPr>
    </w:lvl>
    <w:lvl w:ilvl="6" w:tplc="0409000F" w:tentative="true">
      <w:start w:val="1"/>
      <w:numFmt w:val="decimal"/>
      <w:lvlText w:val="%7."/>
      <w:lvlJc w:val="left"/>
      <w:pPr>
        <w:ind w:left="5040" w:hanging="360"/>
      </w:pPr>
    </w:lvl>
    <w:lvl w:ilvl="7" w:tplc="04090019" w:tentative="true">
      <w:start w:val="1"/>
      <w:numFmt w:val="lowerLetter"/>
      <w:lvlText w:val="%8."/>
      <w:lvlJc w:val="left"/>
      <w:pPr>
        <w:ind w:left="5760" w:hanging="360"/>
      </w:pPr>
    </w:lvl>
    <w:lvl w:ilvl="8" w:tplc="0409001B" w:tentative="true">
      <w:start w:val="1"/>
      <w:numFmt w:val="lowerRoman"/>
      <w:lvlText w:val="%9."/>
      <w:lvlJc w:val="lef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header" Target="header1.xml" Id="R3fb16f2d1f234d16" />
  <Relationship Type="http://schemas.openxmlformats.org/officeDocument/2006/relationships/footer" Target="footer1.xml" Id="R589751a9f4af40a5" />
  <Relationship Type="http://schemas.openxmlformats.org/officeDocument/2006/relationships/numbering" Target="numbering.xml" Id="R16966bc2e17c476e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