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92ba4d2bc9da469f" />
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Architecture Note</w:t>
      </w:r>
    </w:p>
    <w:p>
      <w:pPr>
        <w:sectPr w:rsidR="61CCD118">
          <w:type w:val="nextPage"/>
        </w:sectPr>
      </w:pPr>
    </w:p>
    <w:sdt>
      <w:sdtPr>
        <w:id w:val="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noProof/>
          <w:color w:val="auto"/>
          <w:sz w:val="22"/>
          <w:szCs w:val="22"/>
        </w:rPr>
      </w:sdtEndPr>
      <w:sdtContent>
        <w:p w:rsidR="00327375" w:rsidRDefault="00327375" w14:paraId="2054FA1D" w14:textId="07CA9725">
          <w:pPr>
            <w:pStyle w:val="TOCHeading"/>
          </w:pPr>
          <w:r>
            <w:t>Table of Contents</w:t>
          </w:r>
        </w:p>
        <w:p w:rsidR="00327375" w:rsidRDefault="00327375" w14:paraId="770BF6F5" w14:textId="2FB682F4">
          <w:fldSimple w:instr=" TOC \o &quot;1-3&quot; \h \z \u " w:dirty="true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>
      <w:pPr/>
      <w:r>
        <w:t xml:space="preserve">This document starts as normal Markdown.</w:t>
      </w:r>
    </w:p>
    <w:p>
      <w:pPr>
        <w:pStyle w:val="Heading2"/>
      </w:pPr>
      <w:r>
        <w:t xml:space="preserve">Overview</w:t>
      </w:r>
    </w:p>
    <w:p>
      <w:pPr/>
      <w:r>
        <w:t xml:space="preserve">- Markdown remains readable</w:t>
      </w:r>
    </w:p>
    <w:p>
      <w:pPr/>
      <w:r>
        <w:t xml:space="preserve">- Office-specific constructs are explicit</w:t>
      </w:r>
    </w:p>
    <w:p>
      <w:pPr/>
      <w:r>
        <w:t xml:space="preserve">- Generated C# and PowerShell are escape hatches</w:t>
      </w:r>
    </w:p>
    <w:tbl>
      <w:tblPr>
        <w:tblStyle w:val="TableGrid"/>
        <w:tblW w:w="0" w:type="auto"/>
        <w:tblLook w:val="04A0" w:firstRow="true" w:lastRow="false" w:firstColumn="true" w:lastColumn="false" w:noHBand="false" w:noVBand="true"/>
      </w:tblPr>
      <w:tblGrid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/>
            <w:r>
              <w:t xml:space="preserve">Area</w:t>
            </w:r>
          </w:p>
        </w:tc>
        <w:tc>
          <w:tcPr>
            <w:tcW w:w="2400" w:type="dxa"/>
          </w:tcPr>
          <w:p>
            <w:pPr/>
            <w:r>
              <w:t xml:space="preserve">Status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Parser</w:t>
            </w:r>
          </w:p>
        </w:tc>
        <w:tc>
          <w:tcPr>
            <w:tcW w:w="2400" w:type="dxa"/>
          </w:tcPr>
          <w:p>
            <w:pPr/>
            <w:r>
              <w:t xml:space="preserve">Ready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Exporters</w:t>
            </w:r>
          </w:p>
        </w:tc>
        <w:tc>
          <w:tcPr>
            <w:tcW w:w="2400" w:type="dxa"/>
          </w:tcPr>
          <w:p>
            <w:pPr/>
            <w:r>
              <w:t xml:space="preserve">Growing</w:t>
            </w:r>
          </w:p>
        </w:tc>
      </w:tr>
    </w:tbl>
    <w:p>
      <w:pPr/>
      <w:r>
        <w:drawing>
          <wp:inline xmlns:wp="http://schemas.openxmlformats.org/drawingml/2006/wordprocessingDrawing">
            <wp:extent cx="4572000" cy="3048000"/>
            <wp:effectExtent l="0" t="0" r="19050" b="19050"/>
            <wp:docPr id="2" name="chart"/>
            <a:graphic xmlns:a="http://schemas.openxmlformats.org/drawingml/2006/main">
              <a:graphicData uri="http://schemas.openxmlformats.org/drawingml/2006/chart">
                <c:chart xmlns:p6="http://schemas.openxmlformats.org/officeDocument/2006/relationships" xmlns:c="http://schemas.openxmlformats.org/drawingml/2006/chart" p6:id="R860b3cc085554255"/>
              </a:graphicData>
            </a:graphic>
          </wp:inline>
        </w:drawing>
      </w:r>
    </w:p>
    <w:p>
      <w:r>
        <w:br w:type="page"/>
      </w:r>
    </w:p>
    <w:p>
      <w:pPr>
        <w:sectPr w:rsidR="60320970">
          <w:type w:val="nextPage"/>
        </w:sectPr>
      </w:pPr>
    </w:p>
    <w:p>
      <w:pPr>
        <w:pStyle w:val="Heading1"/>
      </w:pPr>
      <w:r>
        <w:t xml:space="preserve">Appendix</w:t>
      </w:r>
    </w:p>
    <w:p>
      <w:pPr>
        <w:pStyle w:val="Heading2"/>
      </w:pPr>
      <w:r>
        <w:t xml:space="preserve">Appendix</w:t>
      </w:r>
    </w:p>
    <w:p>
      <w:pPr/>
      <w:r>
        <w:t xml:space="preserve">More Markdown can flow after the section directive.</w:t>
      </w:r>
    </w:p>
    <w:sectPr w:rsidR="B354DD50">
      <w:headerReference w:type="default" r:id="R3b6b5b21a9b0406e"/>
      <w:footerReference w:type="default" r:id="Rffa89fbdf8cf4bda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t xml:space="preserve">OfficeIMO Markup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chart" Target="charts/chart1.xml" Id="R860b3cc085554255" />
  <Relationship Type="http://schemas.openxmlformats.org/officeDocument/2006/relationships/header" Target="header1.xml" Id="R3b6b5b21a9b0406e" />
  <Relationship Type="http://schemas.openxmlformats.org/officeDocument/2006/relationships/footer" Target="footer1.xml" Id="Rffa89fbdf8cf4bda" />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lstStyle/>
          <a:p>
            <a:pPr>
              <a:defRPr/>
            </a:pPr>
            <a:r>
              <a:t>Quarterly Revenue</a:t>
            </a:r>
          </a:p>
        </c:rich>
      </c:tx>
      <c:overlay val="0"/>
    </c:title>
    <c:autoTitleDeleted val="0"/>
    <c:plotArea>
      <c:layout/>
      <c:barChart xmlns:c="http://schemas.openxmlformats.org/drawingml/2006/chart">
        <c:barDir val="bar"/>
        <c:grouping val="standard"/>
        <c:ser>
          <c:idx val="0"/>
          <c:order val="0"/>
          <c:tx>
            <c:strRef>
              <c:f/>
              <c:strCache>
                <c:pt idx="0">
                  <c:v>Revenue</c:v>
                </c:pt>
              </c:strCache>
            </c:strRef>
          </c:tx>
          <c:spPr>
            <a:solidFill>
              <a:srgbClr val="6495ed"/>
            </a:solidFill>
          </c:spPr>
          <c:invertIfNegative/>
          <c:cat>
            <c:strLit>
              <c:ptCount val="4"/>
              <c:pt idx="0">
                <c:v>Q1</c:v>
              </c:pt>
              <c:pt idx="1">
                <c:v>Q2</c:v>
              </c:pt>
              <c:pt idx="2">
                <c:v>Q3</c:v>
              </c:pt>
              <c:pt idx="3">
                <c:v>Q4</c:v>
              </c:pt>
            </c:strLit>
          </c:cat>
          <c:val>
            <c:numLit>
              <c:formatCode>General</c:formatCode>
              <c:ptCount val="4"/>
              <c:pt idx="0">
                <c:v>120</c:v>
              </c:pt>
              <c:pt idx="1">
                <c:v>180</c:v>
              </c:pt>
              <c:pt idx="2">
                <c:v>260</c:v>
              </c:pt>
              <c:pt idx="3">
                <c:v>320</c:v>
              </c:pt>
            </c:numLit>
          </c:val>
        </c:ser>
        <c:dLbls xmlns:c="http://schemas.openxmlformats.org/drawingml/2006/chart">
          <c:showLegendKey val="0"/>
          <c:showVal val="1"/>
          <c:showCatName val="0"/>
          <c:showSerName val="0"/>
          <c:showPercent val="1"/>
          <c:showBubbleSize val="0"/>
          <c:showLeaderLines val="1"/>
        </c:dLbls>
        <c:gapWidth val="200"/>
        <c:overlap val="0"/>
        <c:axId xmlns:c="http://schemas.openxmlformats.org/drawingml/2006/chart" val="148921729"/>
        <c:axId xmlns:c="http://schemas.openxmlformats.org/drawingml/2006/chart" val="148921730"/>
      </c:barChart>
      <c:catAx xmlns:c="http://schemas.openxmlformats.org/drawingml/2006/chart">
        <c:axId val="148921729"/>
        <c:scaling>
          <c:orientation val="minMax"/>
        </c:scaling>
        <c:delete val="0"/>
        <c:axPos val="b"/>
        <c:majorTickMark val="out"/>
        <c:minorTickMark val="none"/>
        <c:tickLblPos val="nextTo"/>
        <c:crossAx val="14892173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48921730"/>
        <c:scaling>
          <c:orientation val="minMax"/>
        </c:scaling>
        <c:delete val="0"/>
        <c:axPos val="l"/>
        <c:majorGridlines/>
        <c:numFmt formatCode="General" sourceLinked="0"/>
        <c:majorTickMark val="out"/>
        <c:minorTickMark val="none"/>
        <c:tickLblPos val="nextTo"/>
        <c:crossAx val="148921729"/>
        <c:crosses val="autoZero"/>
        <c:crossBetween val="between"/>
      </c:valAx>
    </c:plotArea>
    <c:plotVisOnly val="1"/>
    <c:dispBlanksAs val="gap"/>
    <c:showDLblsOverMax val="0"/>
  </c:chart>
</c:chartSpace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