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1e9d9a8f89634a31" />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 w:val="true"/>
          <w:bCs w:val="true"/>
          <w:color w:val="17365D"/>
          <w:sz w:val="52"/>
        </w:rPr>
        <w:t xml:space="preserve">Patch compliance report</w:t>
      </w:r>
    </w:p>
    <w:p>
      <w:pPr/>
      <w:r>
        <w:rPr>
          <w:b w:val="true"/>
          <w:bCs w:val="true"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c110e0a616484965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 w:val="true"/>
          <w:bCs w:val="true"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28B27A3D">
      <w:headerReference w:type="default" r:id="R8e588a42335440a7"/>
      <w:footerReference w:type="default" r:id="R234bfa7659ba4a98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20BF31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8e588a42335440a7" />
  <Relationship Type="http://schemas.openxmlformats.org/officeDocument/2006/relationships/footer" Target="footer1.xml" Id="R234bfa7659ba4a98" />
  <Relationship Type="http://schemas.openxmlformats.org/officeDocument/2006/relationships/chart" Target="charts/chart1.xml" Id="Rc110e0a616484965" />
  <Relationship Type="http://schemas.openxmlformats.org/officeDocument/2006/relationships/numbering" Target="numbering.xml" Id="Re7dfdcd28eb5497f" 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  <c:txPr>
        <a:bodyPr/>
        <a:lstStyle/>
        <a:p>
          <a:pPr>
            <a:defRPr sz="1200">
              <a:solidFill>
                <a:srgbClr val="1B2433"/>
              </a:solidFill>
              <a:latin typeface="Aptos"/>
            </a:defRPr>
          </a:pPr>
          <a:endParaRPr/>
        </a:p>
      </c:txPr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v>Patched</c:v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v>Pending</c:v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txPr>
            <a:bodyPr/>
            <a:lstStyle/>
            <a:p>
              <a:pPr>
                <a:defRPr sz="900">
                  <a:solidFill>
                    <a:srgbClr val="1B2433"/>
                  </a:solidFill>
                  <a:latin typeface="Aptos"/>
                </a:defRPr>
              </a:pPr>
              <a:endParaRPr/>
            </a:p>
          </c:txPr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6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spPr>
          <a:ln w="6350">
            <a:solidFill>
              <a:srgbClr val="C9D0DA"/>
            </a:solidFill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>
          <c:spPr>
            <a:ln w="6350">
              <a:solidFill>
                <a:srgbClr val="E6EAF0"/>
              </a:solidFill>
            </a:ln>
          </c:spPr>
        </c:majorGridlines>
        <c:numFmt formatCode="General" sourceLinked="0"/>
        <c:majorTickMark val="out"/>
        <c:minorTickMark val="none"/>
        <c:tickLblPos val="nextTo"/>
        <c:spPr>
          <a:ln w="6350">
            <a:noFill/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spPr>
    <a:noFill/>
    <a:ln>
      <a:noFill/>
    </a:ln>
  </c:spPr>
  <c:txPr>
    <a:bodyPr/>
    <a:lstStyle/>
    <a:p>
      <a:pPr>
        <a:defRPr sz="900">
          <a:solidFill>
            <a:srgbClr val="1B2433"/>
          </a:solidFill>
          <a:latin typeface="Aptos"/>
        </a:defRPr>
      </a:pPr>
      <a:endParaRPr/>
    </a:p>
  </c:txPr>
</c:chartSpace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