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a66fb473e89843a5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240"/>
      </w:pPr>
      <w:r>
        <w:rPr>
          <w:b/>
          <w:bCs/>
          <w:color w:val="17365D"/>
          <w:sz w:val="50"/>
        </w:rPr>
        <w:t xml:space="preserve">Project delivery review</w:t>
      </w:r>
    </w:p>
    <w:p>
      <w:pPr/>
      <w:r>
        <w:t xml:space="preserve">2 of 6 milestones are complete; 2 overdue milestone(s) need an owner decision at 2026-09-30.</w:t>
      </w:r>
    </w:p>
    <w:p>
      <w:pPr>
        <w:pStyle w:val="Heading1"/>
        <w:keepNext/>
        <w:spacing w:before="240" w:after="120"/>
      </w:pPr>
      <w:r>
        <w:t xml:space="preserve">Decisions and recovery actions</w:t>
      </w:r>
    </w:p>
    <w:p>
      <w:pPr>
        <w:pStyle w:val="ListParagraph"/>
        <w:keepLines/>
        <w:numPr>
          <w:ilvl w:val="0"/>
          <w:numId w:val="1"/>
        </w:numPr>
      </w:pPr>
      <w:r>
        <w:t xml:space="preserve">Markus | Data migration rehearsal: Approve the retry window and migration owner.</w:t>
      </w:r>
    </w:p>
    <w:p>
      <w:pPr>
        <w:pStyle w:val="ListParagraph"/>
        <w:keepLines/>
        <w:numPr>
          <w:ilvl w:val="0"/>
          <w:numId w:val="1"/>
        </w:numPr>
      </w:pPr>
      <w:r>
        <w:t xml:space="preserve">Chloé | Support handover: Confirm the on-call rota and escalation path.</w:t>
      </w:r>
    </w:p>
    <w:p>
      <w:pPr>
        <w:spacing w:before="240"/>
      </w:pPr>
      <w:r>
        <w:t xml:space="preserve">Review owner: __________________  Decision: __________________</w:t>
      </w:r>
    </w:p>
    <w:p>
      <w:pPr>
        <w:pStyle w:val="Heading1"/>
        <w:keepNext/>
        <w:spacing w:before="240" w:after="120"/>
      </w:pPr>
      <w:r>
        <w:t xml:space="preserve">Milestone position</w:t>
      </w:r>
    </w:p>
    <w:tbl>
      <w:tblPr>
        <w:tblStyle w:val="GridTable4-Accent1"/>
        <w:tblW w:w="5000" w:type="pct"/>
        <w:tblLayout w:type="fixed"/>
        <w:tblLook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Milestone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Owner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Due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Progress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Status</w:t>
            </w:r>
          </w:p>
        </w:tc>
      </w:tr>
      <w:tr>
        <w:trPr>
          <w:cantSplit/>
        </w:trPr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Discovery sign-off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Ana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2026-09-04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100%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Done</w:t>
            </w:r>
          </w:p>
        </w:tc>
      </w:tr>
      <w:tr>
        <w:trPr>
          <w:cantSplit/>
        </w:trPr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Access model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Paweł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2026-09-18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100%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Done</w:t>
            </w:r>
          </w:p>
        </w:tc>
      </w:tr>
      <w:tr>
        <w:trPr>
          <w:cantSplit/>
        </w:trPr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Data migration rehearsal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Markus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2026-09-25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75%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Overdue</w:t>
            </w:r>
          </w:p>
        </w:tc>
      </w:tr>
      <w:tr>
        <w:trPr>
          <w:cantSplit/>
        </w:trPr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Support handover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Chloé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2026-09-29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50%</w:t>
            </w:r>
          </w:p>
        </w:tc>
        <w:tc>
          <w:tcPr>
            <w:tcW w:w="1000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Overdue</w:t>
            </w:r>
          </w:p>
        </w:tc>
      </w:tr>
      <w:tr>
        <w:trPr>
          <w:cantSplit/>
        </w:trPr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User acceptance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Saoirse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2026-10-09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40%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On track</w:t>
            </w:r>
          </w:p>
        </w:tc>
      </w:tr>
      <w:tr>
        <w:trPr>
          <w:cantSplit/>
        </w:trPr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Release approval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Aleksandra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2026-10-16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0%</w:t>
            </w:r>
          </w:p>
        </w:tc>
        <w:tc>
          <w:tcPr>
            <w:tcW w:w="100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On track</w:t>
            </w:r>
          </w:p>
        </w:tc>
      </w:tr>
    </w:tbl>
    <w:p>
      <w:pPr/>
      <w:r>
        <w:t xml:space="preserve">Synthetic sample. Due today is on track; overdue means an incomplete milestone due before the snapshot date. Update the CSV and regenerate this review after changes. Record the review decision in the editable Word copy.</w:t>
      </w:r>
    </w:p>
    <w:sectPr w:rsidR="39FDC578">
      <w:headerReference w:type="default" r:id="Rdba42c7f76da45b9"/>
      <w:footerReference w:type="default" r:id="R679d8997f88041af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DELIVERY | Service rollout | 2026-09-30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C9E5F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dba42c7f76da45b9" />
  <Relationship Type="http://schemas.openxmlformats.org/officeDocument/2006/relationships/footer" Target="footer1.xml" Id="R679d8997f88041af" />
  <Relationship Type="http://schemas.openxmlformats.org/officeDocument/2006/relationships/numbering" Target="numbering.xml" Id="R398e689a7d194803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