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6862d5250cb648f0" />
  <Relationship Type="http://schemas.openxmlformats.org/package/2006/relationships/metadata/core-properties" Target="package/services/metadata/core-properties/5e1ed92e6f204279a9eb0dc0a9602b3e.psmdcp" Id="R4778529aa3884f09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keepNext/>
        <w:spacing w:before="0" w:after="280"/>
      </w:pPr>
      <w:r>
        <w:rPr>
          <w:rFonts w:ascii="Carlito" w:hAnsi="Carlito" w:eastAsia="Carlito" w:cs="Carlito"/>
          <w:b/>
          <w:bCs/>
          <w:color w:val="17365D"/>
          <w:sz w:val="52"/>
        </w:rPr>
        <w:t xml:space="preserve">Business case: service intake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NORTHWIND / INVESTMENT REVIEW / ILLUSTRATIVE ESTIMATE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Decide whether a shared intake form is worth a six-week pilot. The baseline is 240 requests per month; every amount below is an estimate.</w:t>
      </w:r>
    </w:p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Compare the options</w:t>
      </w:r>
    </w:p>
    <w:tbl>
      <w:tblPr>
        <w:tblStyle w:val="TableGrid"/>
        <w:tblW w:w="5000" w:type="pct"/>
        <w:tblLayout w:type="fixed"/>
        <w:tblLook w:val="04A0"/>
      </w:tblPr>
      <w:tblGrid>
        <w:gridCol w:w="2340"/>
        <w:gridCol w:w="1872"/>
        <w:gridCol w:w="2808"/>
        <w:gridCol w:w="2340"/>
      </w:tblGrid>
      <w:tr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Option</w:t>
            </w:r>
          </w:p>
        </w:tc>
        <w:tc>
          <w:tcPr>
            <w:tcW w:w="10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One-off cost</w:t>
            </w:r>
          </w:p>
        </w:tc>
        <w:tc>
          <w:tcPr>
            <w:tcW w:w="150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Monthly saving</w:t>
            </w:r>
          </w:p>
        </w:tc>
        <w:tc>
          <w:tcPr>
            <w:tcW w:w="1250" w:type="pct"/>
            <w:shd w:val="clear" w:fill="17365D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b/>
                <w:bCs/>
                <w:color w:val="FFFFFF"/>
                <w:sz w:val="20"/>
              </w:rPr>
              <w:t xml:space="preserve">Trade-off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Keep current queues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0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0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Manual triage continues</w:t>
            </w:r>
          </w:p>
        </w:tc>
      </w:tr>
      <w:tr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Improve the existing form</w:t>
            </w:r>
          </w:p>
        </w:tc>
        <w:tc>
          <w:tcPr>
            <w:tcW w:w="10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4,800</w:t>
            </w:r>
          </w:p>
        </w:tc>
        <w:tc>
          <w:tcPr>
            <w:tcW w:w="150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700</w:t>
            </w:r>
          </w:p>
        </w:tc>
        <w:tc>
          <w:tcPr>
            <w:tcW w:w="1250" w:type="pct"/>
            <w:shd w:val="clear" w:fill="F1F5F9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Limited reporting</w:t>
            </w:r>
          </w:p>
        </w:tc>
      </w:tr>
      <w:tr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Build a shared intake</w:t>
            </w:r>
          </w:p>
        </w:tc>
        <w:tc>
          <w:tcPr>
            <w:tcW w:w="10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9,600</w:t>
            </w:r>
          </w:p>
        </w:tc>
        <w:tc>
          <w:tcPr>
            <w:tcW w:w="150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EUR 1,200</w:t>
            </w:r>
          </w:p>
        </w:tc>
        <w:tc>
          <w:tcPr>
            <w:tcW w:w="1250" w:type="pct"/>
            <w:shd w:val="clear" w:fill="FFFFFF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>
              <w:spacing w:after="40"/>
            </w:pPr>
            <w:r>
              <w:rPr>
                <w:rFonts w:ascii="Carlito" w:hAnsi="Carlito" w:eastAsia="Carlito" w:cs="Carlito"/>
                <w:color w:val="243247"/>
                <w:sz w:val="20"/>
              </w:rPr>
              <w:t xml:space="preserve">Needs an owning team</w:t>
            </w:r>
          </w:p>
        </w:tc>
      </w:tr>
    </w:tbl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Recommendation and sensitivity</w:t>
      </w:r>
    </w:p>
    <w:p>
      <w:pPr>
        <w:spacing w:before="0" w:after="140"/>
      </w:pPr>
      <w:r>
        <w:rPr>
          <w:rFonts w:ascii="Carlito" w:hAnsi="Carlito" w:eastAsia="Carlito" w:cs="Carlito"/>
          <w:sz w:val="22"/>
        </w:rPr>
        <w:t xml:space="preserve">Pilot the existing-form improvement first. At the estimated saving, simple payback is about seven months; at half the saving it is about fourteen. This excludes tax, financing and ongoing support cost.</w:t>
      </w:r>
    </w:p>
    <w:p>
      <w:pPr>
        <w:pStyle w:val="Heading2"/>
        <w:keepNext/>
        <w:spacing w:before="280" w:after="160"/>
      </w:pPr>
      <w:r>
        <w:rPr>
          <w:rFonts w:ascii="Carlito" w:hAnsi="Carlito" w:eastAsia="Carlito" w:cs="Carlito"/>
          <w:b/>
          <w:bCs/>
          <w:color w:val="17365D"/>
          <w:sz w:val="30"/>
        </w:rPr>
        <w:t xml:space="preserve">Next actions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Finance: replace estimates with a full cost model.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Operations: measure triage time before and during the pilot.</w:t>
      </w:r>
    </w:p>
    <w:p>
      <w:pPr>
        <w:pStyle w:val="ListParagraph"/>
        <w:numPr>
          <w:ilvl w:val="0"/>
          <w:numId w:val="1"/>
        </w:numPr>
        <w:spacing w:before="0" w:after="140"/>
      </w:pPr>
      <w:r>
        <w:rPr>
          <w:rFonts w:ascii="Carlito" w:hAnsi="Carlito" w:eastAsia="Carlito" w:cs="Carlito"/>
          <w:sz w:val="22"/>
        </w:rPr>
        <w:t xml:space="preserve">Sponsor: review results before committing to a wider rollout.</w:t>
      </w:r>
    </w:p>
    <w:sectPr w:rsidR="C77F97ED"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1F57AF9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numbering" Target="numbering.xml" Id="R8c9c11132a7344c0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