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4f3bebec36cb4eaa" />
  <Relationship Type="http://schemas.openxmlformats.org/package/2006/relationships/metadata/core-properties" Target="package/services/metadata/core-properties/ecad6305a1344d75a81c769d44ef750e.psmdcp" Id="Rdce7b0baf6c144a4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keepNext/>
        <w:spacing w:before="0" w:after="280"/>
      </w:pPr>
      <w:r>
        <w:rPr>
          <w:rFonts w:ascii="Carlito" w:hAnsi="Carlito" w:eastAsia="Carlito" w:cs="Carlito"/>
          <w:b/>
          <w:bCs/>
          <w:color w:val="17365D"/>
          <w:sz w:val="52"/>
        </w:rPr>
        <w:t xml:space="preserve">Post-incident review</w:t>
      </w:r>
    </w:p>
    <w:p>
      <w:pPr>
        <w:spacing w:before="0" w:after="140"/>
      </w:pPr>
      <w:r>
        <w:rPr>
          <w:rFonts w:ascii="Carlito" w:hAnsi="Carlito" w:eastAsia="Carlito" w:cs="Carlito"/>
          <w:sz w:val="22"/>
        </w:rPr>
        <w:t xml:space="preserve">NORTHWIND / INCIDENT INC-042 / SYNTHETIC SCENARIO</w:t>
      </w:r>
    </w:p>
    <w:p>
      <w:pPr>
        <w:spacing w:before="0" w:after="140"/>
      </w:pPr>
      <w:r>
        <w:rPr>
          <w:rFonts w:ascii="Carlito" w:hAnsi="Carlito" w:eastAsia="Carlito" w:cs="Carlito"/>
          <w:sz w:val="22"/>
        </w:rPr>
        <w:t xml:space="preserve">A queue configuration change delayed request acknowledgements for 38 minutes. No request records were lost. The review focuses on contributing conditions and corrective work.</w:t>
      </w:r>
    </w:p>
    <w:p>
      <w:pPr>
        <w:pStyle w:val="Heading2"/>
        <w:keepNext/>
        <w:spacing w:before="280" w:after="160"/>
      </w:pPr>
      <w:r>
        <w:rPr>
          <w:rFonts w:ascii="Carlito" w:hAnsi="Carlito" w:eastAsia="Carlito" w:cs="Carlito"/>
          <w:b/>
          <w:bCs/>
          <w:color w:val="17365D"/>
          <w:sz w:val="30"/>
        </w:rPr>
        <w:t xml:space="preserve">What happened</w:t>
      </w:r>
    </w:p>
    <w:tbl>
      <w:tblPr>
        <w:tblStyle w:val="TableGrid"/>
        <w:tblW w:w="5000" w:type="pct"/>
        <w:tblLayout w:type="fixed"/>
        <w:tblLook w:val="04A0"/>
      </w:tblPr>
      <w:tblGrid>
        <w:gridCol w:w="2340"/>
        <w:gridCol w:w="1872"/>
        <w:gridCol w:w="2808"/>
        <w:gridCol w:w="2340"/>
      </w:tblGrid>
      <w:tr>
        <w:tc>
          <w:tcPr>
            <w:tcW w:w="125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Time (UTC)</w:t>
            </w:r>
          </w:p>
        </w:tc>
        <w:tc>
          <w:tcPr>
            <w:tcW w:w="100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Event</w:t>
            </w:r>
          </w:p>
        </w:tc>
        <w:tc>
          <w:tcPr>
            <w:tcW w:w="150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Evidence</w:t>
            </w:r>
          </w:p>
        </w:tc>
        <w:tc>
          <w:tcPr>
            <w:tcW w:w="125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Effect</w:t>
            </w:r>
          </w:p>
        </w:tc>
      </w:tr>
      <w:tr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09:10</w:t>
            </w:r>
          </w:p>
        </w:tc>
        <w:tc>
          <w:tcPr>
            <w:tcW w:w="10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Queue change applied</w:t>
            </w:r>
          </w:p>
        </w:tc>
        <w:tc>
          <w:tcPr>
            <w:tcW w:w="15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Change log CH-014</w:t>
            </w:r>
          </w:p>
        </w:tc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New acknowledgements wait</w:t>
            </w:r>
          </w:p>
        </w:tc>
      </w:tr>
      <w:tr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09:18</w:t>
            </w:r>
          </w:p>
        </w:tc>
        <w:tc>
          <w:tcPr>
            <w:tcW w:w="10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Delay alert raised</w:t>
            </w:r>
          </w:p>
        </w:tc>
        <w:tc>
          <w:tcPr>
            <w:tcW w:w="15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Queue-age monitor</w:t>
            </w:r>
          </w:p>
        </w:tc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Operations investigates</w:t>
            </w:r>
          </w:p>
        </w:tc>
      </w:tr>
      <w:tr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09:36</w:t>
            </w:r>
          </w:p>
        </w:tc>
        <w:tc>
          <w:tcPr>
            <w:tcW w:w="10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Previous config restored</w:t>
            </w:r>
          </w:p>
        </w:tc>
        <w:tc>
          <w:tcPr>
            <w:tcW w:w="15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Recovery log</w:t>
            </w:r>
          </w:p>
        </w:tc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Queue drains</w:t>
            </w:r>
          </w:p>
        </w:tc>
      </w:tr>
      <w:tr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09:48</w:t>
            </w:r>
          </w:p>
        </w:tc>
        <w:tc>
          <w:tcPr>
            <w:tcW w:w="10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Service verified</w:t>
            </w:r>
          </w:p>
        </w:tc>
        <w:tc>
          <w:tcPr>
            <w:tcW w:w="15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Delivery checks</w:t>
            </w:r>
          </w:p>
        </w:tc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Normal operation resumes</w:t>
            </w:r>
          </w:p>
        </w:tc>
      </w:tr>
    </w:tbl>
    <w:p>
      <w:pPr>
        <w:pStyle w:val="Heading2"/>
        <w:keepNext/>
        <w:spacing w:before="280" w:after="160"/>
      </w:pPr>
      <w:r>
        <w:rPr>
          <w:rFonts w:ascii="Carlito" w:hAnsi="Carlito" w:eastAsia="Carlito" w:cs="Carlito"/>
          <w:b/>
          <w:bCs/>
          <w:color w:val="17365D"/>
          <w:sz w:val="30"/>
        </w:rPr>
        <w:t xml:space="preserve">Contributing conditions</w:t>
      </w:r>
    </w:p>
    <w:p>
      <w:pPr>
        <w:spacing w:before="0" w:after="140"/>
      </w:pPr>
      <w:r>
        <w:rPr>
          <w:rFonts w:ascii="Carlito" w:hAnsi="Carlito" w:eastAsia="Carlito" w:cs="Carlito"/>
          <w:sz w:val="22"/>
        </w:rPr>
        <w:t xml:space="preserve">The change passed a basic send check, but the test did not include a backlog. The monitor detected delay; the runbook lacked the configuration rollback step. These are sample observations, not a finding about a real system.</w:t>
      </w:r>
    </w:p>
    <w:p>
      <w:pPr>
        <w:pStyle w:val="Heading2"/>
        <w:keepNext/>
        <w:spacing w:before="280" w:after="160"/>
      </w:pPr>
      <w:r>
        <w:rPr>
          <w:rFonts w:ascii="Carlito" w:hAnsi="Carlito" w:eastAsia="Carlito" w:cs="Carlito"/>
          <w:b/>
          <w:bCs/>
          <w:color w:val="17365D"/>
          <w:sz w:val="30"/>
        </w:rPr>
        <w:t xml:space="preserve">Next actions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rFonts w:ascii="Carlito" w:hAnsi="Carlito" w:eastAsia="Carlito" w:cs="Carlito"/>
          <w:sz w:val="22"/>
        </w:rPr>
        <w:t xml:space="preserve">Engineering: add a backlog case to the change check.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rFonts w:ascii="Carlito" w:hAnsi="Carlito" w:eastAsia="Carlito" w:cs="Carlito"/>
          <w:sz w:val="22"/>
        </w:rPr>
        <w:t xml:space="preserve">Operations: rehearse the documented rollback.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rFonts w:ascii="Carlito" w:hAnsi="Carlito" w:eastAsia="Carlito" w:cs="Carlito"/>
          <w:sz w:val="22"/>
        </w:rPr>
        <w:t xml:space="preserve">Service owner: verify the actions in the next review.</w:t>
      </w:r>
    </w:p>
    <w:sectPr w:rsidR="42CF19A3"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A1AF6E7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numbering" Target="numbering.xml" Id="Raf7e4f6c85834293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