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1a085317f5374437" />
  <Relationship Type="http://schemas.openxmlformats.org/package/2006/relationships/metadata/core-properties" Target="package/services/metadata/core-properties/71e6c7ea1bf74c63a9cd4fbe2cf209d0.psmdcp" Id="Rc1f2f60b682f436e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keepNext/>
        <w:spacing w:before="0" w:after="280"/>
      </w:pPr>
      <w:r>
        <w:rPr>
          <w:rFonts w:ascii="Carlito" w:hAnsi="Carlito" w:eastAsia="Carlito" w:cs="Carlito"/>
          <w:b/>
          <w:bCs/>
          <w:color w:val="17365D"/>
          <w:sz w:val="52"/>
        </w:rPr>
        <w:t xml:space="preserve">Managed service renewal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NORTHWIND / RENEWAL 2027 / DRAFT COMMERCIAL TERMS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Review the service commitments before renewing. This proposal keeps scope, price and the acceptance decision together.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Service commitments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1872"/>
        <w:gridCol w:w="2808"/>
        <w:gridCol w:w="2340"/>
      </w:tblGrid>
      <w:tr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Service</w:t>
            </w:r>
          </w:p>
        </w:tc>
        <w:tc>
          <w:tcPr>
            <w:tcW w:w="10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Coverage</w:t>
            </w:r>
          </w:p>
        </w:tc>
        <w:tc>
          <w:tcPr>
            <w:tcW w:w="15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Monthly fee</w:t>
            </w:r>
          </w:p>
        </w:tc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Review evidence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Request desk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Business hours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2,400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Response-time report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Platform care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Weekly review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1,100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Change and incident log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Recovery exercise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Quarterly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600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Observed restore record</w:t>
            </w:r>
          </w:p>
        </w:tc>
      </w:tr>
    </w:tbl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Term and exclusions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Proposed term: 1 January to 31 December 2027. Fees are illustrative, exclude tax and are subject to an agreed statement of work. Project delivery, emergency cover and third-party licence costs are excluded.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Next actions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Service owner: confirm coverage hours and escalation contacts.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Procurement: review the renewal and notice periods.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Sponsor: record acceptance or request a revised scope.</w:t>
      </w:r>
    </w:p>
    <w:sectPr w:rsidR="5C41D00E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DFBF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4f81f9aad7dd4f6a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