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bbb29e73996d4c86" />
  <Relationship Type="http://schemas.openxmlformats.org/package/2006/relationships/metadata/core-properties" Target="package/services/metadata/core-properties/084b40d92ddd483c904d0ee4400955b9.psmdcp" Id="Rc3a26aac7502429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rFonts w:ascii="Carlito" w:hAnsi="Carlito" w:eastAsia="Carlito" w:cs="Carlito"/>
          <w:b/>
          <w:bCs/>
          <w:color w:val="17365D"/>
          <w:sz w:val="52"/>
        </w:rPr>
        <w:t xml:space="preserve">Statement of work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NORTHWIND / DOCUMENT AUTOMATION / SOW-018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Deliver an editable reporting workflow with a clear boundary between implementation and acceptance. This example is a scope record, not a legal template.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Deliverables and acceptance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Deliverable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Owner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Acceptance evidence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Target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Data mapping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Analyst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Five agreed sample records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Week 1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Report generator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Engineer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DOCX and PDF from each record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Week 3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Operator handover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Delivery lead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Owner completes an unaided run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Week 4</w:t>
            </w:r>
          </w:p>
        </w:tc>
      </w:tr>
    </w:tbl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Scope and change control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Includes one approved data source, one report layout and a repeatable export command. Hosting, new data connectors and production rollout are excluded. Record changes with their effect on cost, dates and acceptance before starting them.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Customer owner: approve the sample data and layout.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Delivery lead: record acceptance for each deliverable.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Both owners: agree any scope change before implementation.</w:t>
      </w:r>
    </w:p>
    <w:sectPr w:rsidR="6488BB79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3D287E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56d349d09ee14b30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