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16e8e08565134494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after="180"/>
      </w:pPr>
      <w:r>
        <w:rPr>
          <w:sz w:val="52"/>
        </w:rPr>
        <w:t xml:space="preserve">Supplier evaluation</w:t>
      </w:r>
    </w:p>
    <w:p>
      <w:pPr>
        <w:spacing w:after="180"/>
      </w:pPr>
      <w:r>
        <w:rPr>
          <w:sz w:val="22"/>
        </w:rPr>
        <w:t xml:space="preserve">NORTHWIND / PROCUREMENT / ILLUSTRATIVE OPTIONS</w:t>
      </w:r>
    </w:p>
    <w:p>
      <w:pPr>
        <w:pStyle w:val="Heading2"/>
        <w:spacing w:after="180"/>
      </w:pPr>
      <w:r>
        <w:rPr>
          <w:sz w:val="30"/>
        </w:rPr>
        <w:t xml:space="preserve">Decision to make</w:t>
      </w:r>
    </w:p>
    <w:p>
      <w:pPr>
        <w:spacing w:after="180"/>
      </w:pPr>
      <w:r>
        <w:rPr>
          <w:sz w:val="22"/>
        </w:rPr>
        <w:t xml:space="preserve">Choose a support platform for a 25-person operations team. The selected service must support clear ownership, exportable records and a tested recovery process.</w:t>
      </w:r>
    </w:p>
    <w:p>
      <w:pPr>
        <w:pStyle w:val="Heading2"/>
        <w:spacing w:after="180"/>
      </w:pPr>
      <w:r>
        <w:rPr>
          <w:sz w:val="30"/>
        </w:rPr>
        <w:t xml:space="preserve">Evaluation approach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sz w:val="22"/>
        </w:rPr>
        <w:t xml:space="preserve">Demonstrate the same request journey with every supplier.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sz w:val="22"/>
        </w:rPr>
        <w:t xml:space="preserve">Record evidence separately from claims made during the demonstration.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sz w:val="22"/>
        </w:rPr>
        <w:t xml:space="preserve">Keep unresolved questions visible before signing.</w:t>
      </w:r>
    </w:p>
    <w:p>
      <w:pPr>
        <w:pStyle w:val="Heading2"/>
        <w:spacing w:after="180"/>
      </w:pPr>
      <w:r>
        <w:rPr>
          <w:sz w:val="30"/>
        </w:rPr>
        <w:t xml:space="preserve">Recommendation</w:t>
      </w:r>
    </w:p>
    <w:p>
      <w:pPr>
        <w:spacing w:after="180"/>
      </w:pPr>
      <w:r>
        <w:rPr>
          <w:sz w:val="22"/>
        </w:rPr>
        <w:t xml:space="preserve">Take Cedar to a controlled pilot. Confirm export completeness and escalation coverage before making a final selection.</w:t>
      </w:r>
    </w:p>
    <w:p>
      <w:pPr>
        <w:sectPr w:rsidR="CAC9D5D2">
          <w:headerReference w:type="default" r:id="R1614745270964e37"/>
          <w:footerReference w:type="default" r:id="R6c3c7b9870904ee9"/>
          <w:pgSz w:w="12240" w:h="15840" w:code="1"/>
          <w:pgMar w:top="1440" w:right="1440" w:bottom="1440" w:left="1440" w:header="720" w:footer="720" w:gutter="0"/>
        </w:sectPr>
      </w:pPr>
    </w:p>
    <w:p>
      <w:pPr>
        <w:pStyle w:val="Heading1"/>
        <w:spacing w:after="180"/>
      </w:pPr>
      <w:r>
        <w:rPr>
          <w:sz w:val="52"/>
        </w:rPr>
        <w:t xml:space="preserve">Evidence comparison</w:t>
      </w:r>
    </w:p>
    <w:p>
      <w:pPr>
        <w:spacing w:after="180"/>
      </w:pPr>
      <w:r>
        <w:rPr>
          <w:sz w:val="22"/>
        </w:rPr>
        <w:t xml:space="preserve">A landscape section gives each criterion enough room for a useful explanation.</w:t>
      </w:r>
    </w:p>
    <w:tbl>
      <w:tblPr>
        <w:tblStyle w:val="TableGrid"/>
        <w:tblW w:w="5000" w:type="pct"/>
        <w:tblLayout w:type="fixed"/>
        <w:tblLook w:val="04A0"/>
      </w:tblPr>
      <w:tblGrid>
        <w:gridCol w:w="1555"/>
        <w:gridCol w:w="3110"/>
        <w:gridCol w:w="2851"/>
        <w:gridCol w:w="2851"/>
        <w:gridCol w:w="2593"/>
      </w:tblGrid>
      <w:tr>
        <w:tc>
          <w:tcPr>
            <w:tcW w:w="600" w:type="pct"/>
            <w:shd w:val="clear" w:fill="E8EEF8"/>
            <w:tcMar>
              <w:top w:w="85" w:type="dxa"/>
              <w:bottom w:w="85" w:type="dxa"/>
            </w:tcMar>
          </w:tcPr>
          <w:p>
            <w:pPr/>
            <w:r>
              <w:rPr>
                <w:b w:val="true"/>
                <w:bCs w:val="true"/>
              </w:rPr>
              <w:t xml:space="preserve">Option</w:t>
            </w:r>
          </w:p>
        </w:tc>
        <w:tc>
          <w:tcPr>
            <w:tcW w:w="1200" w:type="pct"/>
            <w:shd w:val="clear" w:fill="E8EEF8"/>
            <w:tcMar>
              <w:top w:w="85" w:type="dxa"/>
              <w:bottom w:w="85" w:type="dxa"/>
            </w:tcMar>
          </w:tcPr>
          <w:p>
            <w:pPr/>
            <w:r>
              <w:rPr>
                <w:b w:val="true"/>
                <w:bCs w:val="true"/>
              </w:rPr>
              <w:t xml:space="preserve">Request ownership</w:t>
            </w:r>
          </w:p>
        </w:tc>
        <w:tc>
          <w:tcPr>
            <w:tcW w:w="1100" w:type="pct"/>
            <w:shd w:val="clear" w:fill="E8EEF8"/>
            <w:tcMar>
              <w:top w:w="85" w:type="dxa"/>
              <w:bottom w:w="85" w:type="dxa"/>
            </w:tcMar>
          </w:tcPr>
          <w:p>
            <w:pPr/>
            <w:r>
              <w:rPr>
                <w:b w:val="true"/>
                <w:bCs w:val="true"/>
              </w:rPr>
              <w:t xml:space="preserve">Data export</w:t>
            </w:r>
          </w:p>
        </w:tc>
        <w:tc>
          <w:tcPr>
            <w:tcW w:w="1100" w:type="pct"/>
            <w:shd w:val="clear" w:fill="E8EEF8"/>
            <w:tcMar>
              <w:top w:w="85" w:type="dxa"/>
              <w:bottom w:w="85" w:type="dxa"/>
            </w:tcMar>
          </w:tcPr>
          <w:p>
            <w:pPr/>
            <w:r>
              <w:rPr>
                <w:b w:val="true"/>
                <w:bCs w:val="true"/>
              </w:rPr>
              <w:t xml:space="preserve">Recovery evidence</w:t>
            </w:r>
          </w:p>
        </w:tc>
        <w:tc>
          <w:tcPr>
            <w:tcW w:w="1000" w:type="pct"/>
            <w:shd w:val="clear" w:fill="E8EEF8"/>
            <w:tcMar>
              <w:top w:w="85" w:type="dxa"/>
              <w:bottom w:w="85" w:type="dxa"/>
            </w:tcMar>
          </w:tcPr>
          <w:p>
            <w:pPr/>
            <w:r>
              <w:rPr>
                <w:b w:val="true"/>
                <w:bCs w:val="true"/>
              </w:rPr>
              <w:t xml:space="preserve">Commercial question</w:t>
            </w:r>
          </w:p>
        </w:tc>
      </w:tr>
      <w:tr>
        <w:tc>
          <w:tcPr>
            <w:tcW w:w="6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Cedar</w:t>
            </w:r>
          </w:p>
        </w:tc>
        <w:tc>
          <w:tcPr>
            <w:tcW w:w="12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Named owner and queue history shown</w:t>
            </w:r>
          </w:p>
        </w:tc>
        <w:tc>
          <w:tcPr>
            <w:tcW w:w="11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CSV and attachment export demonstrated</w:t>
            </w:r>
          </w:p>
        </w:tc>
        <w:tc>
          <w:tcPr>
            <w:tcW w:w="11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Restore exercise supplied</w:t>
            </w:r>
          </w:p>
        </w:tc>
        <w:tc>
          <w:tcPr>
            <w:tcW w:w="10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Confirm support response window</w:t>
            </w:r>
          </w:p>
        </w:tc>
      </w:tr>
      <w:tr>
        <w:tc>
          <w:tcPr>
            <w:tcW w:w="6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Birch</w:t>
            </w:r>
          </w:p>
        </w:tc>
        <w:tc>
          <w:tcPr>
            <w:tcW w:w="12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Queue ownership shown; individual handoff unclear</w:t>
            </w:r>
          </w:p>
        </w:tc>
        <w:tc>
          <w:tcPr>
            <w:tcW w:w="11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CSV shown; attachments untested</w:t>
            </w:r>
          </w:p>
        </w:tc>
        <w:tc>
          <w:tcPr>
            <w:tcW w:w="11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Procedure supplied; exercise pending</w:t>
            </w:r>
          </w:p>
        </w:tc>
        <w:tc>
          <w:tcPr>
            <w:tcW w:w="10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Confirm annual uplift</w:t>
            </w:r>
          </w:p>
        </w:tc>
      </w:tr>
      <w:tr>
        <w:tc>
          <w:tcPr>
            <w:tcW w:w="6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Maple</w:t>
            </w:r>
          </w:p>
        </w:tc>
        <w:tc>
          <w:tcPr>
            <w:tcW w:w="12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Ownership and escalation demonstrated</w:t>
            </w:r>
          </w:p>
        </w:tc>
        <w:tc>
          <w:tcPr>
            <w:tcW w:w="11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Full export pending pilot</w:t>
            </w:r>
          </w:p>
        </w:tc>
        <w:tc>
          <w:tcPr>
            <w:tcW w:w="11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Restore exercise supplied</w:t>
            </w:r>
          </w:p>
        </w:tc>
        <w:tc>
          <w:tcPr>
            <w:tcW w:w="1000" w:type="pct"/>
            <w:tcMar>
              <w:top w:w="85" w:type="dxa"/>
              <w:bottom w:w="85" w:type="dxa"/>
            </w:tcMar>
          </w:tcPr>
          <w:p>
            <w:pPr/>
            <w:r>
              <w:rPr>
                <w:b w:val="false"/>
                <w:bCs w:val="false"/>
              </w:rPr>
              <w:t xml:space="preserve">Confirm exit assistance</w:t>
            </w:r>
          </w:p>
        </w:tc>
      </w:tr>
    </w:tbl>
    <w:sectPr w:rsidR="73413F67">
      <w:type w:val="nextPage"/>
      <w:pgSz w:w="15840" w:h="12240" w:orient="landscape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tabs>
        <w:tab w:val="right" w:leader="none" w:pos="9360"/>
      </w:tabs>
    </w:pPr>
    <w:r>
      <w:rPr>
        <w:color w:val="5B6575"/>
        <w:sz w:val="18"/>
      </w:rPr>
      <w:t xml:space="preserve">Supplier evaluation</w:t>
    </w:r>
    <w:r>
      <w:rPr>
        <w:color w:val="5B6575"/>
        <w:sz w:val="18"/>
      </w:rPr>
      <w:tab/>
    </w:r>
    <w:r>
      <w:rPr>
        <w:color w:val="5B6575"/>
        <w:sz w:val="18"/>
      </w:rPr>
      <w:t xml:space="preserve">Internal · Page </w:t>
    </w:r>
    <w:fldSimple w:instr=" PAGE  \* MERGEFORMAT " w:dirty="true">
      <w:r>
        <w:rPr>
          <w:noProof/>
          <w:color w:val="5B6575"/>
          <w:sz w:val="18"/>
        </w:rPr>
        <w:t>[Document Page]</w:t>
      </w:r>
    </w:fldSimple>
    <w:r>
      <w:rPr>
        <w:color w:val="5B6575"/>
        <w:sz w:val="18"/>
      </w:rPr>
      <w:t xml:space="preserve"> of </w:t>
    </w:r>
    <w:fldSimple w:instr=" NUMPAGES  \* MERGEFORMAT " w:dirty="true">
      <w:r>
        <w:rPr>
          <w:noProof/>
          <w:color w:val="5B6575"/>
          <w:sz w:val="18"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0AD58"/>
    <w:multiLevelType w:val="hybridMultilevel"/>
    <w:tmpl w:val="934E79A6"/>
    <w:lvl w:ilvl="0" w:tplc="04090001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tru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tru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 w:tplc="04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tru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true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 w:tplc="04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tru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fficeIMOModern">
    <w:name w:val="OfficeIMO Modern"/>
    <w:basedOn w:val="TableNormal"/>
    <w:uiPriority w:val="40"/>
    <w:pPr>
      <w:spacing w:before="0" w:after="0" w:line="240" w:lineRule="auto"/>
    </w:pPr>
    <w:rPr>
      <w:color w:val="1B2433"/>
      <w:sz w:val="20"/>
      <w:szCs w:val="20"/>
    </w:rPr>
    <w:tblPr>
      <w:tblStyleRowBandSize w:val="1"/>
      <w:tblStyleColBandSize w:val="1"/>
      <w:tblBorders>
        <w:bottom w:val="single" w:color="DCE2EA" w:sz="4" w:space="0"/>
        <w:insideH w:val="single" w:color="DCE2EA" w:sz="4" w:space="0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pPr>
        <w:keepNext/>
      </w:pPr>
      <w:rPr>
        <w:b w:val="true"/>
        <w:bCs w:val="true"/>
        <w:color w:val="1B2433"/>
      </w:rPr>
      <w:trPr>
        <w:tblHeader/>
      </w:trPr>
      <w:tcPr>
        <w:tcBorders>
          <w:bottom w:val="single" w:color="3F64D7" w:sz="8" w:space="0"/>
        </w:tcBorders>
        <w:shd w:val="clear" w:color="auto" w:fill="EAF0FC"/>
      </w:tcPr>
    </w:tblStylePr>
    <w:tblStylePr w:type="band2Horz">
      <w:tcPr>
        <w:shd w:val="clear" w:color="auto" w:fill="F6F8FB"/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280" w:after="80"/>
      <w:outlineLvl w:val="1"/>
    </w:pPr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40" w:after="60"/>
      <w:outlineLvl w:val="2"/>
    </w:pPr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240" w:after="60"/>
      <w:outlineLvl w:val="3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40" w:after="60"/>
      <w:outlineLvl w:val="4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40" w:after="60"/>
      <w:outlineLvl w:val="5"/>
    </w:pPr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spacing w:before="0" w:after="120" w:line="240" w:lineRule="auto"/>
      <w:contextualSpacing/>
    </w:pPr>
    <w:rPr>
      <w:rFonts w:asciiTheme="minorHAnsi" w:hAnsiTheme="minorHAnsi" w:eastAsiaTheme="minorEastAsia" w:cstheme="minorBidi"/>
      <w:b/>
      <w:bCs/>
      <w:color w:val="1B2433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0" w:after="240"/>
    </w:pPr>
    <w:rPr>
      <w:color w:val="3F64D7"/>
      <w:sz w:val="25"/>
      <w:szCs w:val="25"/>
    </w:r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character" w:styleId="Heading3Char" w:customStyle="true">
    <w:name w:val="Heading 3 Char"/>
    <w:basedOn w:val="DefaultParagraphFont"/>
    <w:link w:val="Heading3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character" w:styleId="Heading4Char" w:customStyle="true">
    <w:name w:val="Heading 4 Char"/>
    <w:basedOn w:val="DefaultParagraphFont"/>
    <w:link w:val="Heading4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5Char" w:customStyle="true">
    <w:name w:val="Heading 5 Char"/>
    <w:basedOn w:val="DefaultParagraphFont"/>
    <w:link w:val="Heading5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6Char" w:customStyle="true">
    <w:name w:val="Heading 6 Char"/>
    <w:basedOn w:val="DefaultParagraphFont"/>
    <w:link w:val="Heading6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a00e14972db04a54" />
  <Relationship Type="http://schemas.openxmlformats.org/officeDocument/2006/relationships/header" Target="header1.xml" Id="R1614745270964e37" />
  <Relationship Type="http://schemas.openxmlformats.org/officeDocument/2006/relationships/footer" Target="footer1.xml" Id="R6c3c7b9870904ee9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