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/>
      <w:r>
        <w:rPr>
          <w:b/>
          <w:sz w:val="28"/>
        </w:rPr>
        <w:t>area: fill 1, outline 1</w:t>
      </w:r>
    </w:p>
    <w:p>
      <w:r>
        <w:drawing>
          <wp:inline distT="0" distB="0" distL="0" distR="0">
            <wp:extent cx="5486400" cy="3200400"/>
            <wp:docPr id="1" name="Chart 1"/>
            <wp:cNvGraphicFramePr/>
            <a:graphic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area: fill 1, outline 0</w:t>
      </w:r>
    </w:p>
    <w:p>
      <w:r>
        <w:drawing>
          <wp:inline distT="0" distB="0" distL="0" distR="0">
            <wp:extent cx="5486400" cy="3200400"/>
            <wp:docPr id="2" name="Chart 2"/>
            <wp:cNvGraphicFramePr/>
            <a:graphic>
              <a:graphicData uri="http://schemas.openxmlformats.org/drawingml/2006/chart">
                <c:chart xmlns:c="http://schemas.openxmlformats.org/drawingml/2006/chart" r:id="rId3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area: fill 0, outline 1</w:t>
      </w:r>
    </w:p>
    <w:p>
      <w:r>
        <w:drawing>
          <wp:inline distT="0" distB="0" distL="0" distR="0">
            <wp:extent cx="5486400" cy="3200400"/>
            <wp:docPr id="3" name="Chart 3"/>
            <wp:cNvGraphicFramePr/>
            <a:graphic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area: fill 0, outline 0</w:t>
      </w:r>
    </w:p>
    <w:p>
      <w:r>
        <w:drawing>
          <wp:inline distT="0" distB="0" distL="0" distR="0">
            <wp:extent cx="5486400" cy="3200400"/>
            <wp:docPr id="4" name="Chart 4"/>
            <wp:cNvGraphicFramePr/>
            <a:graphic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bubble: fill 1, outline 1</w:t>
      </w:r>
    </w:p>
    <w:p>
      <w:r>
        <w:drawing>
          <wp:inline distT="0" distB="0" distL="0" distR="0">
            <wp:extent cx="5486400" cy="3200400"/>
            <wp:docPr id="5" name="Chart 5"/>
            <wp:cNvGraphicFramePr/>
            <a:graphic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bubble: fill 1, outline 0</w:t>
      </w:r>
    </w:p>
    <w:p>
      <w:r>
        <w:drawing>
          <wp:inline distT="0" distB="0" distL="0" distR="0">
            <wp:extent cx="5486400" cy="3200400"/>
            <wp:docPr id="6" name="Chart 6"/>
            <wp:cNvGraphicFramePr/>
            <a:graphic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bubble: fill 0, outline 1</w:t>
      </w:r>
    </w:p>
    <w:p>
      <w:r>
        <w:drawing>
          <wp:inline distT="0" distB="0" distL="0" distR="0">
            <wp:extent cx="5486400" cy="3200400"/>
            <wp:docPr id="7" name="Chart 7"/>
            <wp:cNvGraphicFramePr/>
            <a:graphic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bubble: fill 0, outline 0</w:t>
      </w:r>
    </w:p>
    <w:p>
      <w:r>
        <w:drawing>
          <wp:inline distT="0" distB="0" distL="0" distR="0">
            <wp:extent cx="5486400" cy="3200400"/>
            <wp:docPr id="8" name="Chart 8"/>
            <wp:cNvGraphicFramePr/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column: fill 1, outline 1</w:t>
      </w:r>
    </w:p>
    <w:p>
      <w:r>
        <w:drawing>
          <wp:inline distT="0" distB="0" distL="0" distR="0">
            <wp:extent cx="5486400" cy="3200400"/>
            <wp:docPr id="9" name="Chart 9"/>
            <wp:cNvGraphicFramePr/>
            <a:graphic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column: fill 1, outline 0</w:t>
      </w:r>
    </w:p>
    <w:p>
      <w:r>
        <w:drawing>
          <wp:inline distT="0" distB="0" distL="0" distR="0">
            <wp:extent cx="5486400" cy="3200400"/>
            <wp:docPr id="10" name="Chart 10"/>
            <wp:cNvGraphicFramePr/>
            <a:graphic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column: fill 0, outline 1</w:t>
      </w:r>
    </w:p>
    <w:p>
      <w:r>
        <w:drawing>
          <wp:inline distT="0" distB="0" distL="0" distR="0">
            <wp:extent cx="5486400" cy="3200400"/>
            <wp:docPr id="11" name="Chart 11"/>
            <wp:cNvGraphicFramePr/>
            <a:graphic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column: fill 0, outline 0</w:t>
      </w:r>
    </w:p>
    <w:p>
      <w:r>
        <w:drawing>
          <wp:inline distT="0" distB="0" distL="0" distR="0">
            <wp:extent cx="5486400" cy="3200400"/>
            <wp:docPr id="12" name="Chart 12"/>
            <wp:cNvGraphicFramePr/>
            <a:graphic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line: fill 1, outline 1</w:t>
      </w:r>
    </w:p>
    <w:p>
      <w:r>
        <w:drawing>
          <wp:inline distT="0" distB="0" distL="0" distR="0">
            <wp:extent cx="5486400" cy="3200400"/>
            <wp:docPr id="13" name="Chart 13"/>
            <wp:cNvGraphicFramePr/>
            <a:graphic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line: fill 1, outline 0</w:t>
      </w:r>
    </w:p>
    <w:p>
      <w:r>
        <w:drawing>
          <wp:inline distT="0" distB="0" distL="0" distR="0">
            <wp:extent cx="5486400" cy="3200400"/>
            <wp:docPr id="14" name="Chart 14"/>
            <wp:cNvGraphicFramePr/>
            <a:graphic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line: fill 0, outline 1</w:t>
      </w:r>
    </w:p>
    <w:p>
      <w:r>
        <w:drawing>
          <wp:inline distT="0" distB="0" distL="0" distR="0">
            <wp:extent cx="5486400" cy="3200400"/>
            <wp:docPr id="15" name="Chart 15"/>
            <wp:cNvGraphicFramePr/>
            <a:graphic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line: fill 0, outline 0</w:t>
      </w:r>
    </w:p>
    <w:p>
      <w:r>
        <w:drawing>
          <wp:inline distT="0" distB="0" distL="0" distR="0">
            <wp:extent cx="5486400" cy="3200400"/>
            <wp:docPr id="16" name="Chart 16"/>
            <wp:cNvGraphicFramePr/>
            <a:graphic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chart" Target="charts/chart4.xml"/><Relationship Id="rId6" Type="http://schemas.openxmlformats.org/officeDocument/2006/relationships/chart" Target="charts/chart5.xml"/><Relationship Id="rId7" Type="http://schemas.openxmlformats.org/officeDocument/2006/relationships/chart" Target="charts/chart6.xml"/><Relationship Id="rId8" Type="http://schemas.openxmlformats.org/officeDocument/2006/relationships/chart" Target="charts/chart7.xml"/><Relationship Id="rId9" Type="http://schemas.openxmlformats.org/officeDocument/2006/relationships/chart" Target="charts/chart8.xml"/><Relationship Id="rId10" Type="http://schemas.openxmlformats.org/officeDocument/2006/relationships/chart" Target="charts/chart9.xml"/><Relationship Id="rId11" Type="http://schemas.openxmlformats.org/officeDocument/2006/relationships/chart" Target="charts/chart10.xml"/><Relationship Id="rId12" Type="http://schemas.openxmlformats.org/officeDocument/2006/relationships/chart" Target="charts/chart11.xml"/><Relationship Id="rId13" Type="http://schemas.openxmlformats.org/officeDocument/2006/relationships/chart" Target="charts/chart12.xml"/><Relationship Id="rId14" Type="http://schemas.openxmlformats.org/officeDocument/2006/relationships/chart" Target="charts/chart13.xml"/><Relationship Id="rId15" Type="http://schemas.openxmlformats.org/officeDocument/2006/relationships/chart" Target="charts/chart14.xml"/><Relationship Id="rId16" Type="http://schemas.openxmlformats.org/officeDocument/2006/relationships/chart" Target="charts/chart15.xml"/><Relationship Id="rId17" Type="http://schemas.openxmlformats.org/officeDocument/2006/relationships/chart" Target="charts/chart1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area: fill 1, outline 1</a:t>
            </a:r>
          </a:p>
        </c:rich>
      </c:tx>
      <c:overlay val="0"/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38100">
              <a:solidFill>
                <a:srgbClr val="E97132"/>
              </a:solidFill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axId val="5001"/>
        <c:axId val="5002"/>
      </c:area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area: fill 1, outline 0</a:t>
            </a:r>
          </a:p>
        </c:rich>
      </c:tx>
      <c:overlay val="0"/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38100"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axId val="5001"/>
        <c:axId val="5002"/>
      </c:area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area: fill 0, outline 1</a:t>
            </a:r>
          </a:p>
        </c:rich>
      </c:tx>
      <c:overlay val="0"/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38100">
              <a:solidFill>
                <a:srgbClr val="E97132"/>
              </a:solidFill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axId val="5001"/>
        <c:axId val="5002"/>
      </c:area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area: fill 0, outline 0</a:t>
            </a:r>
          </a:p>
        </c:rich>
      </c:tx>
      <c:overlay val="0"/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38100"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axId val="5001"/>
        <c:axId val="5002"/>
      </c:area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bubble: fill 1, outline 1</a:t>
            </a:r>
          </a:p>
        </c:rich>
      </c:tx>
      <c:overlay val="0"/>
    </c:title>
    <c:autoTitleDeleted val="0"/>
    <c:plotArea>
      <c:layout/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38100">
              <a:solidFill>
                <a:srgbClr val="E97132"/>
              </a:solidFill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1.0</c:v>
                </c:pt>
                <c:pt idx="1">
                  <c:v>2.0</c:v>
                </c:pt>
                <c:pt idx="2">
                  <c:v>3.0</c:v>
                </c:pt>
                <c:pt idx="3">
                  <c:v>4.0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yVal>
          <c:bubbleSize>
            <c:numLit>
              <c:formatCode>General</c:formatCode>
              <c:ptCount val="4"/>
              <c:pt idx="0">
                <c:v>4.0</c:v>
              </c:pt>
              <c:pt idx="1">
                <c:v>8.0</c:v>
              </c:pt>
              <c:pt idx="2">
                <c:v>6.0</c:v>
              </c:pt>
              <c:pt idx="3">
                <c:v>10.0</c:v>
              </c:pt>
            </c:numLit>
          </c:bubbleSize>
        </c:ser>
        <c:bubbleScale val="100"/>
        <c:sizeRepresents val="area"/>
        <c:axId val="5001"/>
        <c:axId val="5002"/>
      </c:bubbleChart>
      <c:val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crossBetween val="midCat"/>
      </c:val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bubble: fill 1, outline 0</a:t>
            </a:r>
          </a:p>
        </c:rich>
      </c:tx>
      <c:overlay val="0"/>
    </c:title>
    <c:autoTitleDeleted val="0"/>
    <c:plotArea>
      <c:layout/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38100">
              <a:noFill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1.0</c:v>
                </c:pt>
                <c:pt idx="1">
                  <c:v>2.0</c:v>
                </c:pt>
                <c:pt idx="2">
                  <c:v>3.0</c:v>
                </c:pt>
                <c:pt idx="3">
                  <c:v>4.0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yVal>
          <c:bubbleSize>
            <c:numLit>
              <c:formatCode>General</c:formatCode>
              <c:ptCount val="4"/>
              <c:pt idx="0">
                <c:v>4.0</c:v>
              </c:pt>
              <c:pt idx="1">
                <c:v>8.0</c:v>
              </c:pt>
              <c:pt idx="2">
                <c:v>6.0</c:v>
              </c:pt>
              <c:pt idx="3">
                <c:v>10.0</c:v>
              </c:pt>
            </c:numLit>
          </c:bubbleSize>
        </c:ser>
        <c:bubbleScale val="100"/>
        <c:sizeRepresents val="area"/>
        <c:axId val="5001"/>
        <c:axId val="5002"/>
      </c:bubbleChart>
      <c:val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crossBetween val="midCat"/>
      </c:val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bubble: fill 0, outline 1</a:t>
            </a:r>
          </a:p>
        </c:rich>
      </c:tx>
      <c:overlay val="0"/>
    </c:title>
    <c:autoTitleDeleted val="0"/>
    <c:plotArea>
      <c:layout/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38100">
              <a:solidFill>
                <a:srgbClr val="E97132"/>
              </a:solidFill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1.0</c:v>
                </c:pt>
                <c:pt idx="1">
                  <c:v>2.0</c:v>
                </c:pt>
                <c:pt idx="2">
                  <c:v>3.0</c:v>
                </c:pt>
                <c:pt idx="3">
                  <c:v>4.0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yVal>
          <c:bubbleSize>
            <c:numLit>
              <c:formatCode>General</c:formatCode>
              <c:ptCount val="4"/>
              <c:pt idx="0">
                <c:v>4.0</c:v>
              </c:pt>
              <c:pt idx="1">
                <c:v>8.0</c:v>
              </c:pt>
              <c:pt idx="2">
                <c:v>6.0</c:v>
              </c:pt>
              <c:pt idx="3">
                <c:v>10.0</c:v>
              </c:pt>
            </c:numLit>
          </c:bubbleSize>
        </c:ser>
        <c:bubbleScale val="100"/>
        <c:sizeRepresents val="area"/>
        <c:axId val="5001"/>
        <c:axId val="5002"/>
      </c:bubbleChart>
      <c:val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crossBetween val="midCat"/>
      </c:val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bubble: fill 0, outline 0</a:t>
            </a:r>
          </a:p>
        </c:rich>
      </c:tx>
      <c:overlay val="0"/>
    </c:title>
    <c:autoTitleDeleted val="0"/>
    <c:plotArea>
      <c:layout/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38100">
              <a:noFill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1.0</c:v>
                </c:pt>
                <c:pt idx="1">
                  <c:v>2.0</c:v>
                </c:pt>
                <c:pt idx="2">
                  <c:v>3.0</c:v>
                </c:pt>
                <c:pt idx="3">
                  <c:v>4.0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yVal>
          <c:bubbleSize>
            <c:numLit>
              <c:formatCode>General</c:formatCode>
              <c:ptCount val="4"/>
              <c:pt idx="0">
                <c:v>4.0</c:v>
              </c:pt>
              <c:pt idx="1">
                <c:v>8.0</c:v>
              </c:pt>
              <c:pt idx="2">
                <c:v>6.0</c:v>
              </c:pt>
              <c:pt idx="3">
                <c:v>10.0</c:v>
              </c:pt>
            </c:numLit>
          </c:bubbleSize>
        </c:ser>
        <c:bubbleScale val="100"/>
        <c:sizeRepresents val="area"/>
        <c:axId val="5001"/>
        <c:axId val="5002"/>
      </c:bubbleChart>
      <c:val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crossBetween val="midCat"/>
      </c:val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column: fill 1, outline 1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38100">
              <a:solidFill>
                <a:srgbClr val="E97132"/>
              </a:solidFill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column: fill 1, outline 0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38100"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column: fill 0, outline 1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38100">
              <a:solidFill>
                <a:srgbClr val="E97132"/>
              </a:solidFill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column: fill 0, outline 0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38100"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line: fill 1, outline 1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38100">
              <a:solidFill>
                <a:srgbClr val="E97132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axId val="5001"/>
        <c:axId val="5002"/>
      </c:line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line: fill 1, outline 0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38100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axId val="5001"/>
        <c:axId val="5002"/>
      </c:line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line: fill 0, outline 1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38100">
              <a:solidFill>
                <a:srgbClr val="E97132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axId val="5001"/>
        <c:axId val="5002"/>
      </c:line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line: fill 0, outline 0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38100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axId val="5001"/>
        <c:axId val="5002"/>
      </c:line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>
          <c:spPr>
            <a:ln w="6350">
              <a:solidFill>
                <a:srgbClr val="E2E8F0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254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